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FC2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b/>
          <w:snapToGrid/>
          <w:color w:val="auto"/>
          <w:kern w:val="2"/>
          <w:sz w:val="60"/>
          <w:szCs w:val="60"/>
          <w:highlight w:val="none"/>
          <w:lang w:val="en-US" w:eastAsia="zh-CN"/>
        </w:rPr>
      </w:pPr>
    </w:p>
    <w:p w14:paraId="520AC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b/>
          <w:snapToGrid/>
          <w:color w:val="auto"/>
          <w:kern w:val="2"/>
          <w:sz w:val="21"/>
          <w:szCs w:val="21"/>
          <w:highlight w:val="none"/>
          <w:lang w:val="en-US" w:eastAsia="zh-CN"/>
        </w:rPr>
      </w:pPr>
    </w:p>
    <w:p w14:paraId="25CAED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snapToGrid/>
          <w:color w:val="auto"/>
          <w:kern w:val="2"/>
          <w:sz w:val="48"/>
          <w:szCs w:val="48"/>
          <w:lang w:val="en-US" w:eastAsia="zh-CN"/>
        </w:rPr>
      </w:pPr>
      <w:r>
        <w:rPr>
          <w:rFonts w:hint="eastAsia" w:ascii="方正小标宋简体" w:hAnsi="方正小标宋简体" w:eastAsia="方正小标宋简体" w:cs="方正小标宋简体"/>
          <w:b/>
          <w:snapToGrid/>
          <w:color w:val="auto"/>
          <w:kern w:val="2"/>
          <w:sz w:val="48"/>
          <w:szCs w:val="48"/>
          <w:lang w:val="en-US" w:eastAsia="zh-CN"/>
        </w:rPr>
        <w:t>五常市国家生态文明建设示范区规划（2024—2030年）</w:t>
      </w:r>
    </w:p>
    <w:p w14:paraId="790CEF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snapToGrid/>
          <w:color w:val="auto"/>
          <w:kern w:val="2"/>
          <w:sz w:val="48"/>
          <w:szCs w:val="48"/>
          <w:lang w:val="en-US" w:eastAsia="zh-CN"/>
        </w:rPr>
      </w:pPr>
    </w:p>
    <w:p w14:paraId="261A8D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snapToGrid/>
          <w:color w:val="auto"/>
          <w:kern w:val="2"/>
          <w:sz w:val="48"/>
          <w:szCs w:val="48"/>
          <w:lang w:val="en-US" w:eastAsia="zh-CN"/>
        </w:rPr>
      </w:pPr>
      <w:r>
        <w:rPr>
          <w:rFonts w:hint="eastAsia" w:ascii="方正小标宋简体" w:hAnsi="方正小标宋简体" w:eastAsia="方正小标宋简体" w:cs="方正小标宋简体"/>
          <w:b/>
          <w:snapToGrid/>
          <w:color w:val="auto"/>
          <w:kern w:val="2"/>
          <w:sz w:val="48"/>
          <w:szCs w:val="48"/>
          <w:lang w:val="en-US" w:eastAsia="zh-CN"/>
        </w:rPr>
        <w:t>规划文本</w:t>
      </w:r>
    </w:p>
    <w:p w14:paraId="769F9A75">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_GBK" w:hAnsi="方正小标宋_GBK" w:eastAsia="方正小标宋_GBK" w:cs="方正小标宋_GBK"/>
          <w:b/>
          <w:bCs/>
          <w:sz w:val="24"/>
          <w:szCs w:val="24"/>
          <w:highlight w:val="none"/>
          <w:lang w:val="en-US" w:eastAsia="zh-CN"/>
        </w:rPr>
      </w:pPr>
    </w:p>
    <w:p w14:paraId="41D0F500">
      <w:pPr>
        <w:pStyle w:val="19"/>
        <w:ind w:left="16" w:leftChars="0" w:hanging="16" w:hangingChars="7"/>
        <w:jc w:val="center"/>
        <w:rPr>
          <w:rFonts w:hint="default"/>
          <w:highlight w:val="none"/>
          <w:lang w:val="en-US" w:eastAsia="zh-CN"/>
        </w:rPr>
      </w:pPr>
      <w:r>
        <w:rPr>
          <w:rFonts w:ascii="宋体" w:hAnsi="宋体" w:eastAsia="宋体" w:cs="宋体"/>
          <w:sz w:val="24"/>
          <w:szCs w:val="24"/>
          <w:highlight w:val="none"/>
        </w:rPr>
        <w:drawing>
          <wp:inline distT="0" distB="0" distL="114300" distR="114300">
            <wp:extent cx="5400040" cy="3282950"/>
            <wp:effectExtent l="0" t="0" r="635" b="3175"/>
            <wp:docPr id="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6"/>
                    <pic:cNvPicPr>
                      <a:picLocks noChangeAspect="1"/>
                    </pic:cNvPicPr>
                  </pic:nvPicPr>
                  <pic:blipFill>
                    <a:blip r:embed="rId11"/>
                    <a:stretch>
                      <a:fillRect/>
                    </a:stretch>
                  </pic:blipFill>
                  <pic:spPr>
                    <a:xfrm>
                      <a:off x="0" y="0"/>
                      <a:ext cx="5400040" cy="3282950"/>
                    </a:xfrm>
                    <a:prstGeom prst="rect">
                      <a:avLst/>
                    </a:prstGeom>
                    <a:noFill/>
                    <a:ln w="9525">
                      <a:noFill/>
                    </a:ln>
                  </pic:spPr>
                </pic:pic>
              </a:graphicData>
            </a:graphic>
          </wp:inline>
        </w:drawing>
      </w:r>
    </w:p>
    <w:p w14:paraId="0C31C887">
      <w:pPr>
        <w:keepNext w:val="0"/>
        <w:keepLines w:val="0"/>
        <w:pageBreakBefore w:val="0"/>
        <w:widowControl/>
        <w:shd w:val="clear" w:color="auto" w:fill="auto"/>
        <w:kinsoku w:val="0"/>
        <w:wordWrap/>
        <w:overflowPunct/>
        <w:topLinePunct w:val="0"/>
        <w:autoSpaceDE w:val="0"/>
        <w:autoSpaceDN w:val="0"/>
        <w:bidi w:val="0"/>
        <w:adjustRightInd w:val="0"/>
        <w:snapToGrid w:val="0"/>
        <w:ind w:firstLine="0" w:firstLineChars="0"/>
        <w:jc w:val="left"/>
        <w:textAlignment w:val="baseline"/>
        <w:rPr>
          <w:rFonts w:hint="eastAsia" w:ascii="宋体" w:hAnsi="宋体" w:eastAsia="宋体" w:cs="宋体"/>
          <w:sz w:val="24"/>
          <w:szCs w:val="24"/>
          <w:highlight w:val="none"/>
          <w:lang w:val="en-US" w:eastAsia="zh-CN"/>
        </w:rPr>
      </w:pPr>
      <w:r>
        <w:rPr>
          <w:rFonts w:ascii="宋体" w:hAnsi="宋体" w:eastAsia="宋体" w:cs="宋体"/>
          <w:sz w:val="24"/>
          <w:szCs w:val="24"/>
          <w:highlight w:val="none"/>
        </w:rPr>
        <w:drawing>
          <wp:inline distT="0" distB="0" distL="114300" distR="114300">
            <wp:extent cx="304800" cy="304800"/>
            <wp:effectExtent l="0" t="0" r="0" b="0"/>
            <wp:docPr id="1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4"/>
          <w:szCs w:val="24"/>
          <w:highlight w:val="none"/>
          <w:lang w:val="en-US" w:eastAsia="zh-CN"/>
        </w:rPr>
        <w:t xml:space="preserve">                 </w:t>
      </w:r>
    </w:p>
    <w:p w14:paraId="1B4D0C2C">
      <w:pPr>
        <w:keepNext w:val="0"/>
        <w:keepLines w:val="0"/>
        <w:pageBreakBefore w:val="0"/>
        <w:widowControl/>
        <w:shd w:val="clear" w:color="auto" w:fill="auto"/>
        <w:kinsoku w:val="0"/>
        <w:wordWrap/>
        <w:overflowPunct/>
        <w:topLinePunct w:val="0"/>
        <w:autoSpaceDE w:val="0"/>
        <w:autoSpaceDN w:val="0"/>
        <w:bidi w:val="0"/>
        <w:adjustRightInd w:val="0"/>
        <w:snapToGrid w:val="0"/>
        <w:ind w:firstLine="0" w:firstLineChars="0"/>
        <w:jc w:val="left"/>
        <w:textAlignment w:val="baseline"/>
        <w:rPr>
          <w:rFonts w:hint="eastAsia" w:ascii="宋体" w:hAnsi="宋体" w:eastAsia="宋体" w:cs="宋体"/>
          <w:sz w:val="24"/>
          <w:szCs w:val="24"/>
          <w:highlight w:val="none"/>
          <w:lang w:val="en-US" w:eastAsia="zh-CN"/>
        </w:rPr>
      </w:pPr>
    </w:p>
    <w:p w14:paraId="5E36D87C">
      <w:pPr>
        <w:keepNext w:val="0"/>
        <w:keepLines w:val="0"/>
        <w:pageBreakBefore w:val="0"/>
        <w:widowControl/>
        <w:shd w:val="clear" w:color="auto" w:fill="auto"/>
        <w:kinsoku w:val="0"/>
        <w:wordWrap/>
        <w:overflowPunct/>
        <w:topLinePunct w:val="0"/>
        <w:autoSpaceDE w:val="0"/>
        <w:autoSpaceDN w:val="0"/>
        <w:bidi w:val="0"/>
        <w:adjustRightInd w:val="0"/>
        <w:snapToGrid w:val="0"/>
        <w:ind w:firstLine="0" w:firstLineChars="0"/>
        <w:jc w:val="center"/>
        <w:textAlignment w:val="baseline"/>
        <w:rPr>
          <w:rFonts w:hint="eastAsia" w:ascii="Times New Roman" w:hAnsi="Times New Roman" w:eastAsia="楷体" w:cs="Times New Roman"/>
          <w:b/>
          <w:bCs/>
          <w:color w:val="000000" w:themeColor="text1"/>
          <w:spacing w:val="16"/>
          <w:kern w:val="0"/>
          <w:sz w:val="40"/>
          <w:szCs w:val="40"/>
          <w:highlight w:val="none"/>
          <w:lang w:val="en-US" w:eastAsia="zh-CN"/>
          <w14:textFill>
            <w14:solidFill>
              <w14:schemeClr w14:val="tx1"/>
            </w14:solidFill>
          </w14:textFill>
        </w:rPr>
      </w:pPr>
      <w:r>
        <w:rPr>
          <w:rFonts w:hint="eastAsia" w:ascii="Times New Roman" w:hAnsi="Times New Roman" w:eastAsia="楷体" w:cs="Times New Roman"/>
          <w:b/>
          <w:bCs/>
          <w:color w:val="000000" w:themeColor="text1"/>
          <w:spacing w:val="16"/>
          <w:kern w:val="0"/>
          <w:sz w:val="40"/>
          <w:szCs w:val="40"/>
          <w:highlight w:val="none"/>
          <w:lang w:val="en-US" w:eastAsia="zh-CN"/>
          <w14:textFill>
            <w14:solidFill>
              <w14:schemeClr w14:val="tx1"/>
            </w14:solidFill>
          </w14:textFill>
        </w:rPr>
        <w:t>五常市人民政府</w:t>
      </w:r>
    </w:p>
    <w:p w14:paraId="42CB559F">
      <w:pPr>
        <w:keepNext w:val="0"/>
        <w:keepLines w:val="0"/>
        <w:pageBreakBefore w:val="0"/>
        <w:widowControl/>
        <w:shd w:val="clear" w:color="auto" w:fill="auto"/>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楷体" w:cs="Times New Roman"/>
          <w:b/>
          <w:bCs/>
          <w:color w:val="000000" w:themeColor="text1"/>
          <w:spacing w:val="16"/>
          <w:kern w:val="0"/>
          <w:sz w:val="40"/>
          <w:szCs w:val="40"/>
          <w:highlight w:val="none"/>
          <w:lang w:val="en-US" w:eastAsia="zh-CN"/>
          <w14:textFill>
            <w14:solidFill>
              <w14:schemeClr w14:val="tx1"/>
            </w14:solidFill>
          </w14:textFill>
        </w:rPr>
      </w:pPr>
    </w:p>
    <w:p w14:paraId="786E6331">
      <w:pPr>
        <w:keepNext w:val="0"/>
        <w:keepLines w:val="0"/>
        <w:pageBreakBefore w:val="0"/>
        <w:widowControl/>
        <w:shd w:val="clear" w:color="auto" w:fill="FFFFFF"/>
        <w:kinsoku w:val="0"/>
        <w:wordWrap/>
        <w:overflowPunct/>
        <w:topLinePunct w:val="0"/>
        <w:autoSpaceDE w:val="0"/>
        <w:autoSpaceDN w:val="0"/>
        <w:bidi w:val="0"/>
        <w:adjustRightInd w:val="0"/>
        <w:snapToGrid w:val="0"/>
        <w:ind w:firstLine="0" w:firstLineChars="0"/>
        <w:jc w:val="center"/>
        <w:textAlignment w:val="baseline"/>
        <w:rPr>
          <w:rFonts w:hint="eastAsia" w:ascii="Times New Roman" w:hAnsi="Times New Roman" w:eastAsia="楷体" w:cs="Times New Roman"/>
          <w:b/>
          <w:bCs/>
          <w:color w:val="000000" w:themeColor="text1"/>
          <w:spacing w:val="16"/>
          <w:kern w:val="0"/>
          <w:sz w:val="40"/>
          <w:szCs w:val="40"/>
          <w:highlight w:val="none"/>
          <w14:textFill>
            <w14:solidFill>
              <w14:schemeClr w14:val="tx1"/>
            </w14:solidFill>
          </w14:textFill>
        </w:rPr>
      </w:pPr>
      <w:r>
        <w:rPr>
          <w:rFonts w:hint="eastAsia" w:ascii="Times New Roman" w:hAnsi="Times New Roman" w:eastAsia="楷体" w:cs="Times New Roman"/>
          <w:b/>
          <w:bCs/>
          <w:color w:val="000000" w:themeColor="text1"/>
          <w:spacing w:val="16"/>
          <w:kern w:val="0"/>
          <w:sz w:val="40"/>
          <w:szCs w:val="40"/>
          <w:highlight w:val="none"/>
          <w14:textFill>
            <w14:solidFill>
              <w14:schemeClr w14:val="tx1"/>
            </w14:solidFill>
          </w14:textFill>
        </w:rPr>
        <w:t>二〇二</w:t>
      </w:r>
      <w:r>
        <w:rPr>
          <w:rFonts w:hint="eastAsia" w:ascii="Times New Roman" w:hAnsi="Times New Roman" w:eastAsia="楷体" w:cs="Times New Roman"/>
          <w:b/>
          <w:bCs/>
          <w:color w:val="000000" w:themeColor="text1"/>
          <w:spacing w:val="16"/>
          <w:kern w:val="0"/>
          <w:sz w:val="40"/>
          <w:szCs w:val="40"/>
          <w:highlight w:val="none"/>
          <w:lang w:val="en-US" w:eastAsia="zh-CN"/>
          <w14:textFill>
            <w14:solidFill>
              <w14:schemeClr w14:val="tx1"/>
            </w14:solidFill>
          </w14:textFill>
        </w:rPr>
        <w:t>四</w:t>
      </w:r>
      <w:r>
        <w:rPr>
          <w:rFonts w:hint="eastAsia" w:ascii="Times New Roman" w:hAnsi="Times New Roman" w:eastAsia="楷体" w:cs="Times New Roman"/>
          <w:b/>
          <w:bCs/>
          <w:color w:val="000000" w:themeColor="text1"/>
          <w:spacing w:val="16"/>
          <w:kern w:val="0"/>
          <w:sz w:val="40"/>
          <w:szCs w:val="40"/>
          <w:highlight w:val="none"/>
          <w14:textFill>
            <w14:solidFill>
              <w14:schemeClr w14:val="tx1"/>
            </w14:solidFill>
          </w14:textFill>
        </w:rPr>
        <w:t>年</w:t>
      </w:r>
      <w:r>
        <w:rPr>
          <w:rFonts w:hint="eastAsia" w:ascii="Times New Roman" w:hAnsi="Times New Roman" w:eastAsia="楷体" w:cs="Times New Roman"/>
          <w:b/>
          <w:bCs/>
          <w:color w:val="000000" w:themeColor="text1"/>
          <w:spacing w:val="16"/>
          <w:kern w:val="0"/>
          <w:sz w:val="40"/>
          <w:szCs w:val="40"/>
          <w:highlight w:val="none"/>
          <w:lang w:val="en-US" w:eastAsia="zh-CN"/>
          <w14:textFill>
            <w14:solidFill>
              <w14:schemeClr w14:val="tx1"/>
            </w14:solidFill>
          </w14:textFill>
        </w:rPr>
        <w:t>十</w:t>
      </w:r>
      <w:r>
        <w:rPr>
          <w:rFonts w:hint="eastAsia" w:ascii="Times New Roman" w:hAnsi="Times New Roman" w:eastAsia="楷体" w:cs="Times New Roman"/>
          <w:b/>
          <w:bCs/>
          <w:color w:val="000000" w:themeColor="text1"/>
          <w:spacing w:val="16"/>
          <w:kern w:val="0"/>
          <w:sz w:val="40"/>
          <w:szCs w:val="40"/>
          <w:highlight w:val="none"/>
          <w14:textFill>
            <w14:solidFill>
              <w14:schemeClr w14:val="tx1"/>
            </w14:solidFill>
          </w14:textFill>
        </w:rPr>
        <w:t>月</w:t>
      </w:r>
    </w:p>
    <w:p w14:paraId="2C1FEEAB">
      <w:pPr>
        <w:pStyle w:val="2"/>
        <w:keepNext w:val="0"/>
        <w:keepLines w:val="0"/>
        <w:pageBreakBefore w:val="0"/>
        <w:widowControl w:val="0"/>
        <w:kinsoku/>
        <w:wordWrap/>
        <w:overflowPunct/>
        <w:topLinePunct w:val="0"/>
        <w:autoSpaceDE/>
        <w:autoSpaceDN/>
        <w:bidi w:val="0"/>
        <w:adjustRightInd/>
        <w:snapToGrid/>
        <w:jc w:val="center"/>
        <w:textAlignment w:val="auto"/>
        <w:rPr>
          <w:rFonts w:hint="eastAsia" w:cstheme="minorBidi"/>
          <w:snapToGrid/>
          <w:color w:val="auto"/>
          <w:szCs w:val="24"/>
          <w:highlight w:val="none"/>
          <w:lang w:eastAsia="zh-CN"/>
        </w:rPr>
        <w:sectPr>
          <w:pgSz w:w="11906" w:h="16838"/>
          <w:pgMar w:top="1440" w:right="1800" w:bottom="1440" w:left="1800" w:header="851" w:footer="992" w:gutter="0"/>
          <w:pgNumType w:fmt="decimal"/>
          <w:cols w:space="425" w:num="1"/>
          <w:docGrid w:type="lines" w:linePitch="312" w:charSpace="0"/>
        </w:sectPr>
      </w:pPr>
    </w:p>
    <w:p w14:paraId="4CCDC110">
      <w:pPr>
        <w:pStyle w:val="2"/>
        <w:keepNext w:val="0"/>
        <w:keepLines w:val="0"/>
        <w:pageBreakBefore w:val="0"/>
        <w:widowControl w:val="0"/>
        <w:kinsoku/>
        <w:wordWrap/>
        <w:overflowPunct/>
        <w:topLinePunct w:val="0"/>
        <w:autoSpaceDE/>
        <w:autoSpaceDN/>
        <w:bidi w:val="0"/>
        <w:adjustRightInd/>
        <w:snapToGrid/>
        <w:jc w:val="center"/>
        <w:textAlignment w:val="auto"/>
        <w:rPr>
          <w:rFonts w:hint="eastAsia" w:cstheme="minorBidi"/>
          <w:snapToGrid/>
          <w:color w:val="auto"/>
          <w:szCs w:val="24"/>
          <w:highlight w:val="none"/>
          <w:lang w:eastAsia="zh-CN"/>
        </w:rPr>
      </w:pPr>
      <w:bookmarkStart w:id="0" w:name="_Toc641"/>
      <w:bookmarkStart w:id="1" w:name="_Toc15748"/>
      <w:bookmarkStart w:id="2" w:name="_Toc4512"/>
      <w:bookmarkStart w:id="3" w:name="_Toc18410"/>
      <w:r>
        <w:rPr>
          <w:rFonts w:hint="eastAsia" w:cstheme="minorBidi"/>
          <w:snapToGrid/>
          <w:color w:val="auto"/>
          <w:szCs w:val="24"/>
          <w:highlight w:val="none"/>
          <w:lang w:eastAsia="zh-CN"/>
        </w:rPr>
        <w:t>前</w:t>
      </w:r>
      <w:r>
        <w:rPr>
          <w:rFonts w:hint="eastAsia" w:cstheme="minorBidi"/>
          <w:snapToGrid/>
          <w:color w:val="auto"/>
          <w:szCs w:val="24"/>
          <w:highlight w:val="none"/>
          <w:lang w:val="en-US" w:eastAsia="zh-CN"/>
        </w:rPr>
        <w:t xml:space="preserve">  </w:t>
      </w:r>
      <w:r>
        <w:rPr>
          <w:rFonts w:hint="eastAsia" w:cstheme="minorBidi"/>
          <w:snapToGrid/>
          <w:color w:val="auto"/>
          <w:szCs w:val="24"/>
          <w:highlight w:val="none"/>
          <w:lang w:eastAsia="zh-CN"/>
        </w:rPr>
        <w:t>言</w:t>
      </w:r>
      <w:bookmarkEnd w:id="0"/>
      <w:bookmarkEnd w:id="1"/>
      <w:bookmarkEnd w:id="2"/>
      <w:bookmarkEnd w:id="3"/>
    </w:p>
    <w:p w14:paraId="01C3F676">
      <w:pPr>
        <w:pStyle w:val="18"/>
        <w:spacing w:line="360" w:lineRule="auto"/>
        <w:ind w:firstLine="600" w:firstLineChars="200"/>
        <w:jc w:val="both"/>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党的十八大以来，以习近平同志为核心的党中央不断深化对生态文明建设规律性认识，从中华民族永续发展的战略高度，深刻回答了生态文明的重大理论和实践问题，系统形成习近平生态文明思想，成为美丽中国建设的根本遵循。党的二十大指出中国式现代化是人与自然和谐共生的现代化。建设人与自然和谐共生的现代化是新征程上党的中心任务在生态文明建设领域的集中体现。2023年习近平总书记在全国生态环境保护大会上的重要讲话和《中共中央 国务院关于全面推进美丽中国建设的意见》为新征程生态文明建设和美丽中国建设指明前进方向。生态文明示范建设把深入贯彻落实习近平生态文明思想作为创建工作的首要任务，从不同领域、不同角度布局多种示范建设项目，将习近平生态文明思想转化为各地的生动实践，以示范建设促进伟大思想落地生根开花结果。</w:t>
      </w:r>
    </w:p>
    <w:p w14:paraId="3E206094">
      <w:pPr>
        <w:pStyle w:val="18"/>
        <w:spacing w:line="360" w:lineRule="auto"/>
        <w:ind w:firstLine="600" w:firstLineChars="200"/>
        <w:jc w:val="both"/>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五常市，源于儒教“三纲五常”之“五常”，位于黑龙江省最南部，是全国优质稻米之乡、国家重要商品粮生产基地、国家现代农业示范区，粮食产量位居全国前列，地区生产总值保持全省县域首位。五常市自然资源呈“六山一水半草二分半田”分布，位于《全国主体功能区规划》确立的构建“两屏三带”为主体的生态安全战略格局中，是国家重点生态功能区东北平原主产区、松嫩平原绿色生态屏障和重要水源涵养区、全国重要的天然林保护区。</w:t>
      </w:r>
    </w:p>
    <w:p w14:paraId="00B81A13">
      <w:pPr>
        <w:pStyle w:val="18"/>
        <w:spacing w:line="360" w:lineRule="auto"/>
        <w:ind w:firstLine="600" w:firstLineChars="200"/>
        <w:jc w:val="both"/>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近年来，五常市深入贯彻落实习近平生态文明思想和习近平总书记视察黑龙江省的重要指示精神，坚决担起生态文明建设政治责任，持续开展“蓝天、碧水、净土”保卫战，2014年作为全省唯一县级单位被纳入首批国家级生态文明先行示范区。2022年在哈尔滨市区县“实行最严格水资源管理制度考评”中获得第一，全市环境空气质量综合排名第一，入选年度“中国天然氧吧”。五常市牢固树立绿色发展理念，把生态环境保护放在国土开发、空间布局、产业转型、民生建设等大局总体部署，深入实施产业项目、现代农业、民生品质、生态宜居、治理效能“五大提升工程”，有力推动目标责任体系、生态安全、生态经济、生态文化、生态制度建设等方面取得积极进展，生态文明建设迈出坚实步伐，绿色生态、宜居宜业、幸福和谐成为城市底色。</w:t>
      </w:r>
    </w:p>
    <w:p w14:paraId="55D33E01">
      <w:pPr>
        <w:pStyle w:val="18"/>
        <w:spacing w:line="360" w:lineRule="auto"/>
        <w:ind w:firstLine="600" w:firstLineChars="200"/>
        <w:jc w:val="both"/>
        <w:rPr>
          <w:rFonts w:hint="eastAsia" w:ascii="仿宋_GB2312" w:hAnsi="仿宋_GB2312" w:eastAsia="仿宋_GB2312" w:cs="仿宋_GB2312"/>
          <w:snapToGrid/>
          <w:color w:val="auto"/>
          <w:kern w:val="2"/>
          <w:sz w:val="30"/>
          <w:szCs w:val="30"/>
          <w:highlight w:val="none"/>
          <w:lang w:val="en-US" w:eastAsia="zh-CN" w:bidi="ar-SA"/>
        </w:rPr>
      </w:pPr>
      <w:r>
        <w:rPr>
          <w:rFonts w:hint="eastAsia" w:ascii="仿宋_GB2312" w:hAnsi="仿宋_GB2312" w:eastAsia="仿宋_GB2312" w:cs="仿宋_GB2312"/>
          <w:snapToGrid/>
          <w:color w:val="auto"/>
          <w:kern w:val="2"/>
          <w:sz w:val="30"/>
          <w:szCs w:val="30"/>
          <w:highlight w:val="none"/>
          <w:lang w:val="en-US" w:eastAsia="zh-CN" w:bidi="ar-SA"/>
        </w:rPr>
        <w:t>为推动生态文明建设再上新台阶，五常市积极启动《五常市生态文明建设示范区规划（2024—2030年）》（以下简称《规划》）编制。《规划》以相关法律法规、部门规章及政策文件等为编制依据，与国家、黑龙江省、哈尔滨市等规划充分衔接，以五常市全域为规划范围，规划基准年为</w:t>
      </w:r>
      <w:r>
        <w:rPr>
          <w:rFonts w:hint="default" w:ascii="仿宋_GB2312" w:hAnsi="仿宋_GB2312" w:eastAsia="仿宋_GB2312" w:cs="仿宋_GB2312"/>
          <w:snapToGrid/>
          <w:color w:val="auto"/>
          <w:kern w:val="2"/>
          <w:sz w:val="30"/>
          <w:szCs w:val="30"/>
          <w:highlight w:val="none"/>
          <w:lang w:val="en-US" w:eastAsia="zh-CN" w:bidi="ar-SA"/>
        </w:rPr>
        <w:t>2023</w:t>
      </w:r>
      <w:r>
        <w:rPr>
          <w:rFonts w:hint="eastAsia" w:ascii="仿宋_GB2312" w:hAnsi="仿宋_GB2312" w:eastAsia="仿宋_GB2312" w:cs="仿宋_GB2312"/>
          <w:snapToGrid/>
          <w:color w:val="auto"/>
          <w:kern w:val="2"/>
          <w:sz w:val="30"/>
          <w:szCs w:val="30"/>
          <w:highlight w:val="none"/>
          <w:lang w:val="en-US" w:eastAsia="zh-CN" w:bidi="ar-SA"/>
        </w:rPr>
        <w:t>年，规划近期为</w:t>
      </w:r>
      <w:r>
        <w:rPr>
          <w:rFonts w:hint="default" w:ascii="仿宋_GB2312" w:hAnsi="仿宋_GB2312" w:eastAsia="仿宋_GB2312" w:cs="仿宋_GB2312"/>
          <w:snapToGrid/>
          <w:color w:val="auto"/>
          <w:kern w:val="2"/>
          <w:sz w:val="30"/>
          <w:szCs w:val="30"/>
          <w:highlight w:val="none"/>
          <w:lang w:val="en-US" w:eastAsia="zh-CN" w:bidi="ar-SA"/>
        </w:rPr>
        <w:t>2024</w:t>
      </w:r>
      <w:r>
        <w:rPr>
          <w:rFonts w:hint="eastAsia" w:ascii="仿宋_GB2312" w:hAnsi="仿宋_GB2312" w:eastAsia="仿宋_GB2312" w:cs="仿宋_GB2312"/>
          <w:snapToGrid/>
          <w:color w:val="auto"/>
          <w:kern w:val="2"/>
          <w:sz w:val="30"/>
          <w:szCs w:val="30"/>
          <w:highlight w:val="none"/>
          <w:lang w:val="en-US" w:eastAsia="zh-CN" w:bidi="ar-SA"/>
        </w:rPr>
        <w:t>—</w:t>
      </w:r>
      <w:r>
        <w:rPr>
          <w:rFonts w:hint="default" w:ascii="仿宋_GB2312" w:hAnsi="仿宋_GB2312" w:eastAsia="仿宋_GB2312" w:cs="仿宋_GB2312"/>
          <w:snapToGrid/>
          <w:color w:val="auto"/>
          <w:kern w:val="2"/>
          <w:sz w:val="30"/>
          <w:szCs w:val="30"/>
          <w:highlight w:val="none"/>
          <w:lang w:val="en-US" w:eastAsia="zh-CN" w:bidi="ar-SA"/>
        </w:rPr>
        <w:t>202</w:t>
      </w:r>
      <w:r>
        <w:rPr>
          <w:rFonts w:hint="eastAsia" w:ascii="仿宋_GB2312" w:hAnsi="仿宋_GB2312" w:eastAsia="仿宋_GB2312" w:cs="仿宋_GB2312"/>
          <w:snapToGrid/>
          <w:color w:val="auto"/>
          <w:kern w:val="2"/>
          <w:sz w:val="30"/>
          <w:szCs w:val="30"/>
          <w:highlight w:val="none"/>
          <w:lang w:val="en-US" w:eastAsia="zh-CN" w:bidi="ar-SA"/>
        </w:rPr>
        <w:t>5年，规划远期为</w:t>
      </w:r>
      <w:r>
        <w:rPr>
          <w:rFonts w:hint="default" w:ascii="仿宋_GB2312" w:hAnsi="仿宋_GB2312" w:eastAsia="仿宋_GB2312" w:cs="仿宋_GB2312"/>
          <w:snapToGrid/>
          <w:color w:val="auto"/>
          <w:kern w:val="2"/>
          <w:sz w:val="30"/>
          <w:szCs w:val="30"/>
          <w:highlight w:val="none"/>
          <w:lang w:val="en-US" w:eastAsia="zh-CN" w:bidi="ar-SA"/>
        </w:rPr>
        <w:t>202</w:t>
      </w:r>
      <w:r>
        <w:rPr>
          <w:rFonts w:hint="eastAsia" w:ascii="仿宋_GB2312" w:hAnsi="仿宋_GB2312" w:eastAsia="仿宋_GB2312" w:cs="仿宋_GB2312"/>
          <w:snapToGrid/>
          <w:color w:val="auto"/>
          <w:kern w:val="2"/>
          <w:sz w:val="30"/>
          <w:szCs w:val="30"/>
          <w:highlight w:val="none"/>
          <w:lang w:val="en-US" w:eastAsia="zh-CN" w:bidi="ar-SA"/>
        </w:rPr>
        <w:t>6—</w:t>
      </w:r>
      <w:r>
        <w:rPr>
          <w:rFonts w:hint="default" w:ascii="仿宋_GB2312" w:hAnsi="仿宋_GB2312" w:eastAsia="仿宋_GB2312" w:cs="仿宋_GB2312"/>
          <w:snapToGrid/>
          <w:color w:val="auto"/>
          <w:kern w:val="2"/>
          <w:sz w:val="30"/>
          <w:szCs w:val="30"/>
          <w:highlight w:val="none"/>
          <w:lang w:val="en-US" w:eastAsia="zh-CN" w:bidi="ar-SA"/>
        </w:rPr>
        <w:t>2030</w:t>
      </w:r>
      <w:r>
        <w:rPr>
          <w:rFonts w:hint="eastAsia" w:ascii="仿宋_GB2312" w:hAnsi="仿宋_GB2312" w:eastAsia="仿宋_GB2312" w:cs="仿宋_GB2312"/>
          <w:snapToGrid/>
          <w:color w:val="auto"/>
          <w:kern w:val="2"/>
          <w:sz w:val="30"/>
          <w:szCs w:val="30"/>
          <w:highlight w:val="none"/>
          <w:lang w:val="en-US" w:eastAsia="zh-CN" w:bidi="ar-SA"/>
        </w:rPr>
        <w:t>年。《规划》围绕五常市努力打造“龙江县域经济高质量发展增长极”“国际稻米产业发展合作中心”“全国县城新型城镇化建设示范中心”“黑吉两省区域协调发展枢纽中心”战略定位，对加快建设龙江县域生态宜居新城，建成山更秀、水更清、米更香、人更和、经济更强的现代化新五常意义重大。《规划》由市政府常委会审议通过后颁布实施，是指导全市生态文明建设的纲领性文件。</w:t>
      </w:r>
    </w:p>
    <w:p w14:paraId="0EA803E1">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highlight w:val="none"/>
          <w:lang w:val="en-US" w:eastAsia="en-US" w:bidi="ar-SA"/>
        </w:rPr>
        <w:sectPr>
          <w:footerReference r:id="rId5" w:type="default"/>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Arial"/>
          <w:snapToGrid w:val="0"/>
          <w:color w:val="000000"/>
          <w:kern w:val="0"/>
          <w:sz w:val="21"/>
          <w:szCs w:val="21"/>
          <w:highlight w:val="none"/>
          <w:lang w:val="en-US" w:eastAsia="en-US" w:bidi="ar-SA"/>
        </w:rPr>
        <w:id w:val="147477236"/>
        <w15:color w:val="DBDBDB"/>
        <w:docPartObj>
          <w:docPartGallery w:val="Table of Contents"/>
          <w:docPartUnique/>
        </w:docPartObj>
      </w:sdtPr>
      <w:sdtEndPr>
        <w:rPr>
          <w:rFonts w:hint="default" w:ascii="宋体" w:hAnsi="宋体" w:eastAsia="宋体" w:cs="Arial"/>
          <w:snapToGrid w:val="0"/>
          <w:color w:val="000000"/>
          <w:kern w:val="0"/>
          <w:sz w:val="30"/>
          <w:szCs w:val="30"/>
          <w:highlight w:val="none"/>
          <w:lang w:val="en-US" w:eastAsia="en-US" w:bidi="ar-SA"/>
        </w:rPr>
      </w:sdtEndPr>
      <w:sdtContent>
        <w:p w14:paraId="1A64E8D1">
          <w:pPr>
            <w:spacing w:before="0" w:beforeLines="0" w:after="0" w:afterLines="0" w:line="240" w:lineRule="auto"/>
            <w:ind w:left="0" w:leftChars="0" w:right="0" w:rightChars="0" w:firstLine="0" w:firstLineChars="0"/>
            <w:jc w:val="center"/>
            <w:rPr>
              <w:sz w:val="32"/>
              <w:szCs w:val="32"/>
              <w:highlight w:val="none"/>
            </w:rPr>
          </w:pPr>
          <w:r>
            <w:rPr>
              <w:rFonts w:hint="eastAsia" w:ascii="黑体" w:hAnsi="黑体" w:eastAsia="黑体" w:cs="黑体"/>
              <w:sz w:val="32"/>
              <w:szCs w:val="32"/>
              <w:highlight w:val="none"/>
            </w:rPr>
            <w:t>目</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录</w:t>
          </w:r>
        </w:p>
        <w:p w14:paraId="120CF36B">
          <w:pPr>
            <w:pStyle w:val="16"/>
            <w:tabs>
              <w:tab w:val="right" w:leader="dot" w:pos="8306"/>
            </w:tabs>
            <w:rPr>
              <w:rFonts w:ascii="Times New Roman" w:hAnsi="Times New Roman" w:cs="Times New Roman"/>
              <w:sz w:val="30"/>
              <w:szCs w:val="30"/>
            </w:rPr>
          </w:pPr>
          <w:r>
            <w:rPr>
              <w:rFonts w:hint="default" w:ascii="Times New Roman" w:hAnsi="Times New Roman" w:eastAsia="仿宋_GB2312" w:cs="Times New Roman"/>
              <w:b/>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
              <w:bCs/>
              <w:color w:val="000000" w:themeColor="text1"/>
              <w:spacing w:val="16"/>
              <w:kern w:val="0"/>
              <w:sz w:val="30"/>
              <w:szCs w:val="30"/>
              <w:highlight w:val="none"/>
              <w14:textFill>
                <w14:solidFill>
                  <w14:schemeClr w14:val="tx1"/>
                </w14:solidFill>
              </w14:textFill>
            </w:rPr>
            <w:instrText xml:space="preserve">TOC \o "1-3" \h \u </w:instrText>
          </w:r>
          <w:r>
            <w:rPr>
              <w:rFonts w:hint="default" w:ascii="Times New Roman" w:hAnsi="Times New Roman" w:eastAsia="仿宋_GB2312" w:cs="Times New Roman"/>
              <w:b/>
              <w:bCs/>
              <w:color w:val="000000" w:themeColor="text1"/>
              <w:spacing w:val="16"/>
              <w:kern w:val="0"/>
              <w:sz w:val="30"/>
              <w:szCs w:val="30"/>
              <w:highlight w:val="none"/>
              <w14:textFill>
                <w14:solidFill>
                  <w14:schemeClr w14:val="tx1"/>
                </w14:solidFill>
              </w14:textFill>
            </w:rPr>
            <w:fldChar w:fldCharType="separate"/>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_Toc24221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cs="Times New Roman"/>
              <w:snapToGrid/>
              <w:sz w:val="30"/>
              <w:szCs w:val="30"/>
              <w:highlight w:val="none"/>
              <w:lang w:val="en-US" w:eastAsia="zh-CN"/>
            </w:rPr>
            <w:t>一、建设基础与形势分析</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_Toc24221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52F25665">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_Toc30516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（一）建设基础</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_Toc30516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39742E1">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_Toc24308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1. </w:t>
          </w:r>
          <w:r>
            <w:rPr>
              <w:rFonts w:hint="default" w:ascii="Times New Roman" w:hAnsi="Times New Roman" w:eastAsia="仿宋_GB2312" w:cs="Times New Roman"/>
              <w:snapToGrid/>
              <w:kern w:val="2"/>
              <w:sz w:val="30"/>
              <w:szCs w:val="30"/>
              <w:highlight w:val="none"/>
              <w:lang w:val="en-US" w:eastAsia="zh-CN"/>
            </w:rPr>
            <w:t>责任体系逐步健全</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_Toc24308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1AE839EB">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_Toc17045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2. </w:t>
          </w:r>
          <w:r>
            <w:rPr>
              <w:rFonts w:hint="default" w:ascii="Times New Roman" w:hAnsi="Times New Roman" w:eastAsia="仿宋_GB2312" w:cs="Times New Roman"/>
              <w:snapToGrid/>
              <w:kern w:val="2"/>
              <w:sz w:val="30"/>
              <w:szCs w:val="30"/>
              <w:highlight w:val="none"/>
              <w:lang w:val="en-US" w:eastAsia="zh-CN"/>
            </w:rPr>
            <w:t>生态安全持续稳固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_Toc17045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64448BFA">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_Toc30913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3. </w:t>
          </w:r>
          <w:r>
            <w:rPr>
              <w:rFonts w:hint="default" w:ascii="Times New Roman" w:hAnsi="Times New Roman" w:eastAsia="仿宋_GB2312" w:cs="Times New Roman"/>
              <w:snapToGrid/>
              <w:kern w:val="2"/>
              <w:sz w:val="30"/>
              <w:szCs w:val="30"/>
              <w:highlight w:val="none"/>
              <w:lang w:val="en-US" w:eastAsia="zh-CN"/>
            </w:rPr>
            <w:t>生态经济稳步向好</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_Toc30913 \h </w:instrText>
          </w:r>
          <w:r>
            <w:rPr>
              <w:rFonts w:ascii="Times New Roman" w:hAnsi="Times New Roman" w:cs="Times New Roman"/>
              <w:sz w:val="30"/>
              <w:szCs w:val="30"/>
            </w:rPr>
            <w:fldChar w:fldCharType="separate"/>
          </w:r>
          <w:r>
            <w:rPr>
              <w:rFonts w:ascii="Times New Roman" w:hAnsi="Times New Roman" w:cs="Times New Roman"/>
              <w:sz w:val="30"/>
              <w:szCs w:val="30"/>
            </w:rPr>
            <w:t>4</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5EFCADB0">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_Toc24067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4. </w:t>
          </w:r>
          <w:r>
            <w:rPr>
              <w:rFonts w:hint="default" w:ascii="Times New Roman" w:hAnsi="Times New Roman" w:eastAsia="仿宋_GB2312" w:cs="Times New Roman"/>
              <w:snapToGrid/>
              <w:kern w:val="2"/>
              <w:sz w:val="30"/>
              <w:szCs w:val="30"/>
              <w:highlight w:val="none"/>
              <w:lang w:val="en-US" w:eastAsia="zh-CN"/>
            </w:rPr>
            <w:t>生态生活日新月异</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_Toc24067 \h </w:instrText>
          </w:r>
          <w:r>
            <w:rPr>
              <w:rFonts w:ascii="Times New Roman" w:hAnsi="Times New Roman" w:cs="Times New Roman"/>
              <w:sz w:val="30"/>
              <w:szCs w:val="30"/>
            </w:rPr>
            <w:fldChar w:fldCharType="separate"/>
          </w:r>
          <w:r>
            <w:rPr>
              <w:rFonts w:ascii="Times New Roman" w:hAnsi="Times New Roman" w:cs="Times New Roman"/>
              <w:sz w:val="30"/>
              <w:szCs w:val="30"/>
            </w:rPr>
            <w:t>6</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44AA84F8">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_Toc22045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5. </w:t>
          </w:r>
          <w:r>
            <w:rPr>
              <w:rFonts w:hint="default" w:ascii="Times New Roman" w:hAnsi="Times New Roman" w:eastAsia="仿宋_GB2312" w:cs="Times New Roman"/>
              <w:snapToGrid/>
              <w:kern w:val="2"/>
              <w:sz w:val="30"/>
              <w:szCs w:val="30"/>
              <w:highlight w:val="none"/>
              <w:lang w:val="en-US" w:eastAsia="zh-CN"/>
            </w:rPr>
            <w:t>生态制度严格落实</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_Toc22045 \h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3B3AB63">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_Toc30885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6. </w:t>
          </w:r>
          <w:r>
            <w:rPr>
              <w:rFonts w:hint="default" w:ascii="Times New Roman" w:hAnsi="Times New Roman" w:eastAsia="仿宋_GB2312" w:cs="Times New Roman"/>
              <w:snapToGrid/>
              <w:kern w:val="2"/>
              <w:sz w:val="30"/>
              <w:szCs w:val="30"/>
              <w:highlight w:val="none"/>
              <w:lang w:val="en-US" w:eastAsia="zh-CN"/>
            </w:rPr>
            <w:t>生态文化共建共享</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_Toc30885 \h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6CEA4DBB">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_Toc10553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lang w:eastAsia="zh-CN"/>
            </w:rPr>
            <w:t xml:space="preserve">（二） </w:t>
          </w:r>
          <w:r>
            <w:rPr>
              <w:rFonts w:hint="default" w:ascii="Times New Roman" w:hAnsi="Times New Roman" w:eastAsia="方正楷体_GB2312" w:cs="Times New Roman"/>
              <w:bCs/>
              <w:snapToGrid/>
              <w:kern w:val="2"/>
              <w:sz w:val="30"/>
              <w:szCs w:val="30"/>
              <w:highlight w:val="none"/>
              <w:lang w:eastAsia="zh-CN"/>
            </w:rPr>
            <w:t>存在问题与机遇挑战</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_Toc10553 \h </w:instrText>
          </w:r>
          <w:r>
            <w:rPr>
              <w:rFonts w:ascii="Times New Roman" w:hAnsi="Times New Roman" w:cs="Times New Roman"/>
              <w:sz w:val="30"/>
              <w:szCs w:val="30"/>
            </w:rPr>
            <w:fldChar w:fldCharType="separate"/>
          </w:r>
          <w:r>
            <w:rPr>
              <w:rFonts w:ascii="Times New Roman" w:hAnsi="Times New Roman" w:cs="Times New Roman"/>
              <w:sz w:val="30"/>
              <w:szCs w:val="30"/>
            </w:rPr>
            <w:t>10</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82AE6B1">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_Toc25831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1. </w:t>
          </w:r>
          <w:r>
            <w:rPr>
              <w:rFonts w:hint="default" w:ascii="Times New Roman" w:hAnsi="Times New Roman" w:eastAsia="仿宋_GB2312" w:cs="Times New Roman"/>
              <w:snapToGrid/>
              <w:kern w:val="2"/>
              <w:sz w:val="30"/>
              <w:szCs w:val="30"/>
              <w:highlight w:val="none"/>
              <w:lang w:val="en-US" w:eastAsia="zh-CN"/>
            </w:rPr>
            <w:t>优势条件</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_Toc25831 \h </w:instrText>
          </w:r>
          <w:r>
            <w:rPr>
              <w:rFonts w:ascii="Times New Roman" w:hAnsi="Times New Roman" w:cs="Times New Roman"/>
              <w:sz w:val="30"/>
              <w:szCs w:val="30"/>
            </w:rPr>
            <w:fldChar w:fldCharType="separate"/>
          </w:r>
          <w:r>
            <w:rPr>
              <w:rFonts w:ascii="Times New Roman" w:hAnsi="Times New Roman" w:cs="Times New Roman"/>
              <w:sz w:val="30"/>
              <w:szCs w:val="30"/>
            </w:rPr>
            <w:t>10</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11ABCF5B">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_Toc18383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2. </w:t>
          </w:r>
          <w:r>
            <w:rPr>
              <w:rFonts w:hint="default" w:ascii="Times New Roman" w:hAnsi="Times New Roman" w:eastAsia="仿宋_GB2312" w:cs="Times New Roman"/>
              <w:snapToGrid/>
              <w:kern w:val="2"/>
              <w:sz w:val="30"/>
              <w:szCs w:val="30"/>
              <w:highlight w:val="none"/>
              <w:lang w:val="en-US" w:eastAsia="zh-CN"/>
            </w:rPr>
            <w:t>存在短板</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_Toc18383 \h </w:instrText>
          </w:r>
          <w:r>
            <w:rPr>
              <w:rFonts w:ascii="Times New Roman" w:hAnsi="Times New Roman" w:cs="Times New Roman"/>
              <w:sz w:val="30"/>
              <w:szCs w:val="30"/>
            </w:rPr>
            <w:fldChar w:fldCharType="separate"/>
          </w:r>
          <w:r>
            <w:rPr>
              <w:rFonts w:ascii="Times New Roman" w:hAnsi="Times New Roman" w:cs="Times New Roman"/>
              <w:sz w:val="30"/>
              <w:szCs w:val="30"/>
            </w:rPr>
            <w:t>12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1AFBA705">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_Toc8880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3. </w:t>
          </w:r>
          <w:r>
            <w:rPr>
              <w:rFonts w:hint="default" w:ascii="Times New Roman" w:hAnsi="Times New Roman" w:eastAsia="仿宋_GB2312" w:cs="Times New Roman"/>
              <w:snapToGrid/>
              <w:kern w:val="2"/>
              <w:sz w:val="30"/>
              <w:szCs w:val="30"/>
              <w:highlight w:val="none"/>
              <w:lang w:val="en-US" w:eastAsia="zh-CN"/>
            </w:rPr>
            <w:t>建设机遇</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_Toc8880 \h </w:instrText>
          </w:r>
          <w:r>
            <w:rPr>
              <w:rFonts w:ascii="Times New Roman" w:hAnsi="Times New Roman" w:cs="Times New Roman"/>
              <w:sz w:val="30"/>
              <w:szCs w:val="30"/>
            </w:rPr>
            <w:fldChar w:fldCharType="separate"/>
          </w:r>
          <w:r>
            <w:rPr>
              <w:rFonts w:ascii="Times New Roman" w:hAnsi="Times New Roman" w:cs="Times New Roman"/>
              <w:sz w:val="30"/>
              <w:szCs w:val="30"/>
            </w:rPr>
            <w:t>15</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8D3EA4E">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_Toc30453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4. </w:t>
          </w:r>
          <w:r>
            <w:rPr>
              <w:rFonts w:hint="default" w:ascii="Times New Roman" w:hAnsi="Times New Roman" w:eastAsia="仿宋_GB2312" w:cs="Times New Roman"/>
              <w:snapToGrid/>
              <w:kern w:val="2"/>
              <w:sz w:val="30"/>
              <w:szCs w:val="30"/>
              <w:highlight w:val="none"/>
              <w:lang w:val="en-US" w:eastAsia="zh-CN"/>
            </w:rPr>
            <w:t>面临挑战</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_Toc30453 \h </w:instrText>
          </w:r>
          <w:r>
            <w:rPr>
              <w:rFonts w:ascii="Times New Roman" w:hAnsi="Times New Roman" w:cs="Times New Roman"/>
              <w:sz w:val="30"/>
              <w:szCs w:val="30"/>
            </w:rPr>
            <w:fldChar w:fldCharType="separate"/>
          </w:r>
          <w:r>
            <w:rPr>
              <w:rFonts w:ascii="Times New Roman" w:hAnsi="Times New Roman" w:cs="Times New Roman"/>
              <w:sz w:val="30"/>
              <w:szCs w:val="30"/>
            </w:rPr>
            <w:t>17</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5662D14C">
          <w:pPr>
            <w:pStyle w:val="16"/>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_Toc15455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cs="Times New Roman"/>
              <w:snapToGrid/>
              <w:sz w:val="30"/>
              <w:szCs w:val="30"/>
              <w:highlight w:val="none"/>
              <w:lang w:eastAsia="zh-CN"/>
            </w:rPr>
            <w:t>二、规划总则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_Toc15455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575CE74A">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_Toc4773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lang w:eastAsia="zh-CN"/>
            </w:rPr>
            <w:t xml:space="preserve">（一） </w:t>
          </w:r>
          <w:r>
            <w:rPr>
              <w:rFonts w:hint="default" w:ascii="Times New Roman" w:hAnsi="Times New Roman" w:eastAsia="方正楷体_GB2312" w:cs="Times New Roman"/>
              <w:bCs/>
              <w:snapToGrid/>
              <w:kern w:val="2"/>
              <w:sz w:val="30"/>
              <w:szCs w:val="30"/>
              <w:highlight w:val="none"/>
              <w:lang w:eastAsia="zh-CN"/>
            </w:rPr>
            <w:t>指导思想</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_Toc4773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F9FFD3A">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_Toc5304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lang w:eastAsia="zh-CN"/>
            </w:rPr>
            <w:t xml:space="preserve">（二） </w:t>
          </w:r>
          <w:r>
            <w:rPr>
              <w:rFonts w:hint="default" w:ascii="Times New Roman" w:hAnsi="Times New Roman" w:eastAsia="方正楷体_GB2312" w:cs="Times New Roman"/>
              <w:bCs/>
              <w:snapToGrid/>
              <w:kern w:val="2"/>
              <w:sz w:val="30"/>
              <w:szCs w:val="30"/>
              <w:highlight w:val="none"/>
              <w:lang w:eastAsia="zh-CN"/>
            </w:rPr>
            <w:t>规划原则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_Toc5304 \h </w:instrText>
          </w:r>
          <w:r>
            <w:rPr>
              <w:rFonts w:ascii="Times New Roman" w:hAnsi="Times New Roman" w:cs="Times New Roman"/>
              <w:sz w:val="30"/>
              <w:szCs w:val="30"/>
            </w:rPr>
            <w:fldChar w:fldCharType="separate"/>
          </w:r>
          <w:r>
            <w:rPr>
              <w:rFonts w:ascii="Times New Roman" w:hAnsi="Times New Roman" w:cs="Times New Roman"/>
              <w:sz w:val="30"/>
              <w:szCs w:val="30"/>
            </w:rPr>
            <w:t>20</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41CF7B6">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_Toc22141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（三）规划范围和期限</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_Toc22141 \h </w:instrText>
          </w:r>
          <w:r>
            <w:rPr>
              <w:rFonts w:ascii="Times New Roman" w:hAnsi="Times New Roman" w:cs="Times New Roman"/>
              <w:sz w:val="30"/>
              <w:szCs w:val="30"/>
            </w:rPr>
            <w:fldChar w:fldCharType="separate"/>
          </w:r>
          <w:r>
            <w:rPr>
              <w:rFonts w:ascii="Times New Roman" w:hAnsi="Times New Roman" w:cs="Times New Roman"/>
              <w:sz w:val="30"/>
              <w:szCs w:val="30"/>
            </w:rPr>
            <w:t>21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A003A6F">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_Toc29987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（四）规划目标</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_Toc29987 \h </w:instrText>
          </w:r>
          <w:r>
            <w:rPr>
              <w:rFonts w:ascii="Times New Roman" w:hAnsi="Times New Roman" w:cs="Times New Roman"/>
              <w:sz w:val="30"/>
              <w:szCs w:val="30"/>
            </w:rPr>
            <w:fldChar w:fldCharType="separate"/>
          </w:r>
          <w:r>
            <w:rPr>
              <w:rFonts w:ascii="Times New Roman" w:hAnsi="Times New Roman" w:cs="Times New Roman"/>
              <w:sz w:val="30"/>
              <w:szCs w:val="30"/>
            </w:rPr>
            <w:t>21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E198BE7">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_Toc31105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1. </w:t>
          </w:r>
          <w:r>
            <w:rPr>
              <w:rFonts w:hint="default" w:ascii="Times New Roman" w:hAnsi="Times New Roman" w:eastAsia="仿宋_GB2312" w:cs="Times New Roman"/>
              <w:snapToGrid/>
              <w:kern w:val="2"/>
              <w:sz w:val="30"/>
              <w:szCs w:val="30"/>
              <w:highlight w:val="none"/>
              <w:lang w:val="en-US" w:eastAsia="zh-CN"/>
            </w:rPr>
            <w:t>达标创建期（2024—2025年）</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_Toc31105 \h </w:instrText>
          </w:r>
          <w:r>
            <w:rPr>
              <w:rFonts w:ascii="Times New Roman" w:hAnsi="Times New Roman" w:cs="Times New Roman"/>
              <w:sz w:val="30"/>
              <w:szCs w:val="30"/>
            </w:rPr>
            <w:fldChar w:fldCharType="separate"/>
          </w:r>
          <w:r>
            <w:rPr>
              <w:rFonts w:ascii="Times New Roman" w:hAnsi="Times New Roman" w:cs="Times New Roman"/>
              <w:sz w:val="30"/>
              <w:szCs w:val="30"/>
            </w:rPr>
            <w:t>22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95BFEEB">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_Toc26344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2. </w:t>
          </w:r>
          <w:r>
            <w:rPr>
              <w:rFonts w:hint="default" w:ascii="Times New Roman" w:hAnsi="Times New Roman" w:eastAsia="仿宋_GB2312" w:cs="Times New Roman"/>
              <w:snapToGrid/>
              <w:kern w:val="2"/>
              <w:sz w:val="30"/>
              <w:szCs w:val="30"/>
              <w:highlight w:val="none"/>
              <w:lang w:val="en-US" w:eastAsia="zh-CN"/>
            </w:rPr>
            <w:t>深化提质期（2026—2030年）</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_Toc26344 \h </w:instrText>
          </w:r>
          <w:r>
            <w:rPr>
              <w:rFonts w:ascii="Times New Roman" w:hAnsi="Times New Roman" w:cs="Times New Roman"/>
              <w:sz w:val="30"/>
              <w:szCs w:val="30"/>
            </w:rPr>
            <w:fldChar w:fldCharType="separate"/>
          </w:r>
          <w:r>
            <w:rPr>
              <w:rFonts w:ascii="Times New Roman" w:hAnsi="Times New Roman" w:cs="Times New Roman"/>
              <w:sz w:val="30"/>
              <w:szCs w:val="30"/>
            </w:rPr>
            <w:t>22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03B3E2A0">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_Toc7395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lang w:eastAsia="zh-CN"/>
            </w:rPr>
            <w:t xml:space="preserve">（五） </w:t>
          </w:r>
          <w:r>
            <w:rPr>
              <w:rFonts w:hint="default" w:ascii="Times New Roman" w:hAnsi="Times New Roman" w:eastAsia="方正楷体_GB2312" w:cs="Times New Roman"/>
              <w:bCs/>
              <w:snapToGrid/>
              <w:kern w:val="2"/>
              <w:sz w:val="30"/>
              <w:szCs w:val="30"/>
              <w:highlight w:val="none"/>
              <w:lang w:eastAsia="zh-CN"/>
            </w:rPr>
            <w:t>建设指标</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_Toc7395 \h </w:instrText>
          </w:r>
          <w:r>
            <w:rPr>
              <w:rFonts w:ascii="Times New Roman" w:hAnsi="Times New Roman" w:cs="Times New Roman"/>
              <w:sz w:val="30"/>
              <w:szCs w:val="30"/>
            </w:rPr>
            <w:fldChar w:fldCharType="separate"/>
          </w:r>
          <w:r>
            <w:rPr>
              <w:rFonts w:ascii="Times New Roman" w:hAnsi="Times New Roman" w:cs="Times New Roman"/>
              <w:sz w:val="30"/>
              <w:szCs w:val="30"/>
            </w:rPr>
            <w:t>22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D80B339">
          <w:pPr>
            <w:pStyle w:val="16"/>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_Toc30544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cs="Times New Roman"/>
              <w:snapToGrid/>
              <w:sz w:val="30"/>
              <w:szCs w:val="30"/>
              <w:highlight w:val="none"/>
              <w:lang w:eastAsia="zh-CN"/>
            </w:rPr>
            <w:t>三、规划重点任务</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_Toc30544 \h </w:instrText>
          </w:r>
          <w:r>
            <w:rPr>
              <w:rFonts w:ascii="Times New Roman" w:hAnsi="Times New Roman" w:cs="Times New Roman"/>
              <w:sz w:val="30"/>
              <w:szCs w:val="30"/>
            </w:rPr>
            <w:fldChar w:fldCharType="separate"/>
          </w:r>
          <w:r>
            <w:rPr>
              <w:rFonts w:ascii="Times New Roman" w:hAnsi="Times New Roman" w:cs="Times New Roman"/>
              <w:sz w:val="30"/>
              <w:szCs w:val="30"/>
            </w:rPr>
            <w:t>27</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2E86F2A">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_Toc20000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（一）目标责任体系建设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_Toc20000 \h </w:instrText>
          </w:r>
          <w:r>
            <w:rPr>
              <w:rFonts w:ascii="Times New Roman" w:hAnsi="Times New Roman" w:cs="Times New Roman"/>
              <w:sz w:val="30"/>
              <w:szCs w:val="30"/>
            </w:rPr>
            <w:fldChar w:fldCharType="separate"/>
          </w:r>
          <w:r>
            <w:rPr>
              <w:rFonts w:ascii="Times New Roman" w:hAnsi="Times New Roman" w:cs="Times New Roman"/>
              <w:sz w:val="30"/>
              <w:szCs w:val="30"/>
            </w:rPr>
            <w:t>27</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0E22F43E">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_Toc17877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1. </w:t>
          </w:r>
          <w:r>
            <w:rPr>
              <w:rFonts w:hint="default" w:ascii="Times New Roman" w:hAnsi="Times New Roman" w:eastAsia="仿宋_GB2312" w:cs="Times New Roman"/>
              <w:snapToGrid/>
              <w:kern w:val="2"/>
              <w:sz w:val="30"/>
              <w:szCs w:val="30"/>
              <w:highlight w:val="none"/>
              <w:lang w:val="en-US" w:eastAsia="zh-CN"/>
            </w:rPr>
            <w:t>建立生态文明建设目标考核制度</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_Toc17877 \h </w:instrText>
          </w:r>
          <w:r>
            <w:rPr>
              <w:rFonts w:ascii="Times New Roman" w:hAnsi="Times New Roman" w:cs="Times New Roman"/>
              <w:sz w:val="30"/>
              <w:szCs w:val="30"/>
            </w:rPr>
            <w:fldChar w:fldCharType="separate"/>
          </w:r>
          <w:r>
            <w:rPr>
              <w:rFonts w:ascii="Times New Roman" w:hAnsi="Times New Roman" w:cs="Times New Roman"/>
              <w:sz w:val="30"/>
              <w:szCs w:val="30"/>
            </w:rPr>
            <w:t>27</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493420C">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_Toc7925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2. </w:t>
          </w:r>
          <w:r>
            <w:rPr>
              <w:rFonts w:hint="default" w:ascii="Times New Roman" w:hAnsi="Times New Roman" w:eastAsia="仿宋_GB2312" w:cs="Times New Roman"/>
              <w:snapToGrid/>
              <w:kern w:val="2"/>
              <w:sz w:val="30"/>
              <w:szCs w:val="30"/>
              <w:highlight w:val="none"/>
              <w:lang w:val="en-US" w:eastAsia="zh-CN"/>
            </w:rPr>
            <w:t>严格党政领导干部生态环境损害责任追究</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_Toc7925 \h </w:instrText>
          </w:r>
          <w:r>
            <w:rPr>
              <w:rFonts w:ascii="Times New Roman" w:hAnsi="Times New Roman" w:cs="Times New Roman"/>
              <w:sz w:val="30"/>
              <w:szCs w:val="30"/>
            </w:rPr>
            <w:fldChar w:fldCharType="separate"/>
          </w:r>
          <w:r>
            <w:rPr>
              <w:rFonts w:ascii="Times New Roman" w:hAnsi="Times New Roman" w:cs="Times New Roman"/>
              <w:sz w:val="30"/>
              <w:szCs w:val="30"/>
            </w:rPr>
            <w:t>27</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28D45CF">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_Toc29894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3. </w:t>
          </w:r>
          <w:r>
            <w:rPr>
              <w:rFonts w:hint="default" w:ascii="Times New Roman" w:hAnsi="Times New Roman" w:eastAsia="仿宋_GB2312" w:cs="Times New Roman"/>
              <w:snapToGrid/>
              <w:kern w:val="2"/>
              <w:sz w:val="30"/>
              <w:szCs w:val="30"/>
              <w:highlight w:val="none"/>
              <w:lang w:val="en-US" w:eastAsia="zh-CN"/>
            </w:rPr>
            <w:t>开展领导干部自然资源资产离任审计</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_Toc29894 \h </w:instrText>
          </w:r>
          <w:r>
            <w:rPr>
              <w:rFonts w:ascii="Times New Roman" w:hAnsi="Times New Roman" w:cs="Times New Roman"/>
              <w:sz w:val="30"/>
              <w:szCs w:val="30"/>
            </w:rPr>
            <w:fldChar w:fldCharType="separate"/>
          </w:r>
          <w:r>
            <w:rPr>
              <w:rFonts w:ascii="Times New Roman" w:hAnsi="Times New Roman" w:cs="Times New Roman"/>
              <w:sz w:val="30"/>
              <w:szCs w:val="30"/>
            </w:rPr>
            <w:t>28</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23CC479">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_Toc10738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4. </w:t>
          </w:r>
          <w:r>
            <w:rPr>
              <w:rFonts w:hint="default" w:ascii="Times New Roman" w:hAnsi="Times New Roman" w:eastAsia="仿宋_GB2312" w:cs="Times New Roman"/>
              <w:snapToGrid/>
              <w:kern w:val="2"/>
              <w:sz w:val="30"/>
              <w:szCs w:val="30"/>
              <w:highlight w:val="none"/>
              <w:lang w:val="en-US" w:eastAsia="zh-CN"/>
            </w:rPr>
            <w:t>落实中央生态环境保护督察制度</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_Toc10738 \h </w:instrText>
          </w:r>
          <w:r>
            <w:rPr>
              <w:rFonts w:ascii="Times New Roman" w:hAnsi="Times New Roman" w:cs="Times New Roman"/>
              <w:sz w:val="30"/>
              <w:szCs w:val="30"/>
            </w:rPr>
            <w:fldChar w:fldCharType="separate"/>
          </w:r>
          <w:r>
            <w:rPr>
              <w:rFonts w:ascii="Times New Roman" w:hAnsi="Times New Roman" w:cs="Times New Roman"/>
              <w:sz w:val="30"/>
              <w:szCs w:val="30"/>
            </w:rPr>
            <w:t>29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69FCF12">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_Toc6149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（二）生态安全体系建设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_Toc6149 \h </w:instrText>
          </w:r>
          <w:r>
            <w:rPr>
              <w:rFonts w:ascii="Times New Roman" w:hAnsi="Times New Roman" w:cs="Times New Roman"/>
              <w:sz w:val="30"/>
              <w:szCs w:val="30"/>
            </w:rPr>
            <w:fldChar w:fldCharType="separate"/>
          </w:r>
          <w:r>
            <w:rPr>
              <w:rFonts w:ascii="Times New Roman" w:hAnsi="Times New Roman" w:cs="Times New Roman"/>
              <w:sz w:val="30"/>
              <w:szCs w:val="30"/>
            </w:rPr>
            <w:t>29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54E327DC">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_Toc20664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1. </w:t>
          </w:r>
          <w:r>
            <w:rPr>
              <w:rFonts w:hint="default" w:ascii="Times New Roman" w:hAnsi="Times New Roman" w:eastAsia="仿宋_GB2312" w:cs="Times New Roman"/>
              <w:snapToGrid/>
              <w:kern w:val="2"/>
              <w:sz w:val="30"/>
              <w:szCs w:val="30"/>
              <w:highlight w:val="none"/>
              <w:lang w:val="en-US" w:eastAsia="zh-CN"/>
            </w:rPr>
            <w:t>优化国土空间开发保护格局</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_Toc20664 \h </w:instrText>
          </w:r>
          <w:r>
            <w:rPr>
              <w:rFonts w:ascii="Times New Roman" w:hAnsi="Times New Roman" w:cs="Times New Roman"/>
              <w:sz w:val="30"/>
              <w:szCs w:val="30"/>
            </w:rPr>
            <w:fldChar w:fldCharType="separate"/>
          </w:r>
          <w:r>
            <w:rPr>
              <w:rFonts w:ascii="Times New Roman" w:hAnsi="Times New Roman" w:cs="Times New Roman"/>
              <w:sz w:val="30"/>
              <w:szCs w:val="30"/>
            </w:rPr>
            <w:t>29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66865684">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_Toc23246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2. </w:t>
          </w:r>
          <w:r>
            <w:rPr>
              <w:rFonts w:hint="default" w:ascii="Times New Roman" w:hAnsi="Times New Roman" w:eastAsia="仿宋_GB2312" w:cs="Times New Roman"/>
              <w:snapToGrid/>
              <w:kern w:val="2"/>
              <w:sz w:val="30"/>
              <w:szCs w:val="30"/>
              <w:highlight w:val="none"/>
              <w:lang w:val="en-US" w:eastAsia="zh-CN"/>
            </w:rPr>
            <w:t>强化区域生态保护监管</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_Toc23246 \h </w:instrText>
          </w:r>
          <w:r>
            <w:rPr>
              <w:rFonts w:ascii="Times New Roman" w:hAnsi="Times New Roman" w:cs="Times New Roman"/>
              <w:sz w:val="30"/>
              <w:szCs w:val="30"/>
            </w:rPr>
            <w:fldChar w:fldCharType="separate"/>
          </w:r>
          <w:r>
            <w:rPr>
              <w:rFonts w:ascii="Times New Roman" w:hAnsi="Times New Roman" w:cs="Times New Roman"/>
              <w:sz w:val="30"/>
              <w:szCs w:val="30"/>
            </w:rPr>
            <w:t>32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5CDDAEF">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_Toc10537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3. </w:t>
          </w:r>
          <w:r>
            <w:rPr>
              <w:rFonts w:hint="default" w:ascii="Times New Roman" w:hAnsi="Times New Roman" w:eastAsia="仿宋_GB2312" w:cs="Times New Roman"/>
              <w:snapToGrid/>
              <w:kern w:val="2"/>
              <w:sz w:val="30"/>
              <w:szCs w:val="30"/>
              <w:highlight w:val="none"/>
              <w:lang w:val="en-US" w:eastAsia="zh-CN"/>
            </w:rPr>
            <w:t>持续推进环境质量改善</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_Toc10537 \h </w:instrText>
          </w:r>
          <w:r>
            <w:rPr>
              <w:rFonts w:ascii="Times New Roman" w:hAnsi="Times New Roman" w:cs="Times New Roman"/>
              <w:sz w:val="30"/>
              <w:szCs w:val="30"/>
            </w:rPr>
            <w:fldChar w:fldCharType="separate"/>
          </w:r>
          <w:r>
            <w:rPr>
              <w:rFonts w:ascii="Times New Roman" w:hAnsi="Times New Roman" w:cs="Times New Roman"/>
              <w:sz w:val="30"/>
              <w:szCs w:val="30"/>
            </w:rPr>
            <w:t>33</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4BD1619F">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_Toc7342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4. </w:t>
          </w:r>
          <w:r>
            <w:rPr>
              <w:rFonts w:hint="default" w:ascii="Times New Roman" w:hAnsi="Times New Roman" w:eastAsia="仿宋_GB2312" w:cs="Times New Roman"/>
              <w:snapToGrid/>
              <w:kern w:val="2"/>
              <w:sz w:val="30"/>
              <w:szCs w:val="30"/>
              <w:highlight w:val="none"/>
              <w:lang w:val="en-US" w:eastAsia="zh-CN"/>
            </w:rPr>
            <w:t>全面巩固城乡环境治理成效</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_Toc7342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165EC0D">
          <w:pPr>
            <w:pStyle w:val="13"/>
            <w:tabs>
              <w:tab w:val="right" w:leader="dot" w:pos="8306"/>
            </w:tabs>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3E746520">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_Toc30994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5. </w:t>
          </w:r>
          <w:r>
            <w:rPr>
              <w:rFonts w:hint="default" w:ascii="Times New Roman" w:hAnsi="Times New Roman" w:eastAsia="仿宋_GB2312" w:cs="Times New Roman"/>
              <w:snapToGrid/>
              <w:kern w:val="2"/>
              <w:sz w:val="30"/>
              <w:szCs w:val="30"/>
              <w:highlight w:val="none"/>
              <w:lang w:val="en-US" w:eastAsia="zh-CN"/>
            </w:rPr>
            <w:t>统筹推进生态保护修复</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_Toc30994 \h </w:instrText>
          </w:r>
          <w:r>
            <w:rPr>
              <w:rFonts w:ascii="Times New Roman" w:hAnsi="Times New Roman" w:cs="Times New Roman"/>
              <w:sz w:val="30"/>
              <w:szCs w:val="30"/>
            </w:rPr>
            <w:fldChar w:fldCharType="separate"/>
          </w:r>
          <w:r>
            <w:rPr>
              <w:rFonts w:ascii="Times New Roman" w:hAnsi="Times New Roman" w:cs="Times New Roman"/>
              <w:sz w:val="30"/>
              <w:szCs w:val="30"/>
            </w:rPr>
            <w:t>39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6DC1307A">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_Toc1793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6. </w:t>
          </w:r>
          <w:r>
            <w:rPr>
              <w:rFonts w:hint="default" w:ascii="Times New Roman" w:hAnsi="Times New Roman" w:eastAsia="仿宋_GB2312" w:cs="Times New Roman"/>
              <w:snapToGrid/>
              <w:kern w:val="2"/>
              <w:sz w:val="30"/>
              <w:szCs w:val="30"/>
              <w:highlight w:val="none"/>
              <w:lang w:val="en-US" w:eastAsia="zh-CN"/>
            </w:rPr>
            <w:t>有效防范生态环境风险</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_Toc1793 \h </w:instrText>
          </w:r>
          <w:r>
            <w:rPr>
              <w:rFonts w:ascii="Times New Roman" w:hAnsi="Times New Roman" w:cs="Times New Roman"/>
              <w:sz w:val="30"/>
              <w:szCs w:val="30"/>
            </w:rPr>
            <w:fldChar w:fldCharType="separate"/>
          </w:r>
          <w:r>
            <w:rPr>
              <w:rFonts w:ascii="Times New Roman" w:hAnsi="Times New Roman" w:cs="Times New Roman"/>
              <w:sz w:val="30"/>
              <w:szCs w:val="30"/>
            </w:rPr>
            <w:t>41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03B6E22C">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_Toc23568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（三）生态经济体系建设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_Toc23568 \h </w:instrText>
          </w:r>
          <w:r>
            <w:rPr>
              <w:rFonts w:ascii="Times New Roman" w:hAnsi="Times New Roman" w:cs="Times New Roman"/>
              <w:sz w:val="30"/>
              <w:szCs w:val="30"/>
            </w:rPr>
            <w:fldChar w:fldCharType="separate"/>
          </w:r>
          <w:r>
            <w:rPr>
              <w:rFonts w:ascii="Times New Roman" w:hAnsi="Times New Roman" w:cs="Times New Roman"/>
              <w:sz w:val="30"/>
              <w:szCs w:val="30"/>
            </w:rPr>
            <w:t>45</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4EAC2D01">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_Toc26559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1. </w:t>
          </w:r>
          <w:r>
            <w:rPr>
              <w:rFonts w:hint="default" w:ascii="Times New Roman" w:hAnsi="Times New Roman" w:eastAsia="仿宋_GB2312" w:cs="Times New Roman"/>
              <w:snapToGrid/>
              <w:kern w:val="2"/>
              <w:sz w:val="30"/>
              <w:szCs w:val="30"/>
              <w:highlight w:val="none"/>
              <w:lang w:val="en-US" w:eastAsia="zh-CN"/>
            </w:rPr>
            <w:t>持续推进产业结构优化升级</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_Toc26559 \h </w:instrText>
          </w:r>
          <w:r>
            <w:rPr>
              <w:rFonts w:ascii="Times New Roman" w:hAnsi="Times New Roman" w:cs="Times New Roman"/>
              <w:sz w:val="30"/>
              <w:szCs w:val="30"/>
            </w:rPr>
            <w:fldChar w:fldCharType="separate"/>
          </w:r>
          <w:r>
            <w:rPr>
              <w:rFonts w:ascii="Times New Roman" w:hAnsi="Times New Roman" w:cs="Times New Roman"/>
              <w:sz w:val="30"/>
              <w:szCs w:val="30"/>
            </w:rPr>
            <w:t>45</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D6C7779">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_Toc19911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eastAsia="zh-CN"/>
            </w:rPr>
            <w:t xml:space="preserve">2. </w:t>
          </w:r>
          <w:r>
            <w:rPr>
              <w:rFonts w:hint="default" w:ascii="Times New Roman" w:hAnsi="Times New Roman" w:eastAsia="仿宋_GB2312" w:cs="Times New Roman"/>
              <w:snapToGrid/>
              <w:kern w:val="2"/>
              <w:sz w:val="30"/>
              <w:szCs w:val="30"/>
              <w:highlight w:val="none"/>
              <w:lang w:eastAsia="zh-CN"/>
            </w:rPr>
            <w:t>稳妥推进能源绿色低碳转型</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_Toc19911 \h </w:instrText>
          </w:r>
          <w:r>
            <w:rPr>
              <w:rFonts w:ascii="Times New Roman" w:hAnsi="Times New Roman" w:cs="Times New Roman"/>
              <w:sz w:val="30"/>
              <w:szCs w:val="30"/>
            </w:rPr>
            <w:fldChar w:fldCharType="separate"/>
          </w:r>
          <w:r>
            <w:rPr>
              <w:rFonts w:ascii="Times New Roman" w:hAnsi="Times New Roman" w:cs="Times New Roman"/>
              <w:sz w:val="30"/>
              <w:szCs w:val="30"/>
            </w:rPr>
            <w:t>47</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19D492A7">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_Toc17253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z w:val="30"/>
              <w:szCs w:val="30"/>
            </w:rPr>
            <w:t>3. 加强重点领域节能降碳发展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_Toc17253 \h </w:instrText>
          </w:r>
          <w:r>
            <w:rPr>
              <w:rFonts w:ascii="Times New Roman" w:hAnsi="Times New Roman" w:cs="Times New Roman"/>
              <w:sz w:val="30"/>
              <w:szCs w:val="30"/>
            </w:rPr>
            <w:fldChar w:fldCharType="separate"/>
          </w:r>
          <w:r>
            <w:rPr>
              <w:rFonts w:ascii="Times New Roman" w:hAnsi="Times New Roman" w:cs="Times New Roman"/>
              <w:sz w:val="30"/>
              <w:szCs w:val="30"/>
            </w:rPr>
            <w:t>48</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4B2080F2">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_Toc25247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z w:val="30"/>
              <w:szCs w:val="30"/>
            </w:rPr>
            <w:t>4. 促进资源节约集约高效利用</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_Toc25247 \h </w:instrText>
          </w:r>
          <w:r>
            <w:rPr>
              <w:rFonts w:ascii="Times New Roman" w:hAnsi="Times New Roman" w:cs="Times New Roman"/>
              <w:sz w:val="30"/>
              <w:szCs w:val="30"/>
            </w:rPr>
            <w:fldChar w:fldCharType="separate"/>
          </w:r>
          <w:r>
            <w:rPr>
              <w:rFonts w:ascii="Times New Roman" w:hAnsi="Times New Roman" w:cs="Times New Roman"/>
              <w:sz w:val="30"/>
              <w:szCs w:val="30"/>
            </w:rPr>
            <w:t>49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691A4ABE">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_Toc24356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z w:val="30"/>
              <w:szCs w:val="30"/>
            </w:rPr>
            <w:t>5. 培育节能环保清洁</w:t>
          </w:r>
          <w:r>
            <w:rPr>
              <w:rFonts w:hint="default" w:ascii="Times New Roman" w:hAnsi="Times New Roman" w:eastAsia="仿宋_GB2312" w:cs="Times New Roman"/>
              <w:sz w:val="30"/>
              <w:szCs w:val="30"/>
              <w:lang w:val="en-US" w:eastAsia="zh-CN"/>
            </w:rPr>
            <w:t>生产</w:t>
          </w:r>
          <w:r>
            <w:rPr>
              <w:rFonts w:hint="default" w:ascii="Times New Roman" w:hAnsi="Times New Roman" w:eastAsia="仿宋_GB2312" w:cs="Times New Roman"/>
              <w:sz w:val="30"/>
              <w:szCs w:val="30"/>
            </w:rPr>
            <w:t>产业</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_Toc24356 \h </w:instrText>
          </w:r>
          <w:r>
            <w:rPr>
              <w:rFonts w:ascii="Times New Roman" w:hAnsi="Times New Roman" w:cs="Times New Roman"/>
              <w:sz w:val="30"/>
              <w:szCs w:val="30"/>
            </w:rPr>
            <w:fldChar w:fldCharType="separate"/>
          </w:r>
          <w:r>
            <w:rPr>
              <w:rFonts w:ascii="Times New Roman" w:hAnsi="Times New Roman" w:cs="Times New Roman"/>
              <w:sz w:val="30"/>
              <w:szCs w:val="30"/>
            </w:rPr>
            <w:t>51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1FC30D86">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_Toc2983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（四）生态文化体系建设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_Toc2983 \h </w:instrText>
          </w:r>
          <w:r>
            <w:rPr>
              <w:rFonts w:ascii="Times New Roman" w:hAnsi="Times New Roman" w:cs="Times New Roman"/>
              <w:sz w:val="30"/>
              <w:szCs w:val="30"/>
            </w:rPr>
            <w:fldChar w:fldCharType="separate"/>
          </w:r>
          <w:r>
            <w:rPr>
              <w:rFonts w:ascii="Times New Roman" w:hAnsi="Times New Roman" w:cs="Times New Roman"/>
              <w:sz w:val="30"/>
              <w:szCs w:val="30"/>
            </w:rPr>
            <w:t>51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62C57ED7">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_Toc19928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1. </w:t>
          </w:r>
          <w:r>
            <w:rPr>
              <w:rFonts w:hint="default" w:ascii="Times New Roman" w:hAnsi="Times New Roman" w:eastAsia="仿宋_GB2312" w:cs="Times New Roman"/>
              <w:snapToGrid/>
              <w:kern w:val="2"/>
              <w:sz w:val="30"/>
              <w:szCs w:val="30"/>
              <w:highlight w:val="none"/>
              <w:lang w:val="en-US" w:eastAsia="zh-CN"/>
            </w:rPr>
            <w:t>倡导生活消费绿色转型</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_Toc19928 \h </w:instrText>
          </w:r>
          <w:r>
            <w:rPr>
              <w:rFonts w:ascii="Times New Roman" w:hAnsi="Times New Roman" w:cs="Times New Roman"/>
              <w:sz w:val="30"/>
              <w:szCs w:val="30"/>
            </w:rPr>
            <w:fldChar w:fldCharType="separate"/>
          </w:r>
          <w:r>
            <w:rPr>
              <w:rFonts w:ascii="Times New Roman" w:hAnsi="Times New Roman" w:cs="Times New Roman"/>
              <w:sz w:val="30"/>
              <w:szCs w:val="30"/>
            </w:rPr>
            <w:t>51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D5150F8">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_Toc26188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2. </w:t>
          </w:r>
          <w:r>
            <w:rPr>
              <w:rFonts w:hint="default" w:ascii="Times New Roman" w:hAnsi="Times New Roman" w:eastAsia="仿宋_GB2312" w:cs="Times New Roman"/>
              <w:snapToGrid/>
              <w:kern w:val="2"/>
              <w:sz w:val="30"/>
              <w:szCs w:val="30"/>
              <w:highlight w:val="none"/>
              <w:lang w:val="en-US" w:eastAsia="zh-CN"/>
            </w:rPr>
            <w:t>加强生态文明宣传教育</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_Toc26188 \h </w:instrText>
          </w:r>
          <w:r>
            <w:rPr>
              <w:rFonts w:ascii="Times New Roman" w:hAnsi="Times New Roman" w:cs="Times New Roman"/>
              <w:sz w:val="30"/>
              <w:szCs w:val="30"/>
            </w:rPr>
            <w:fldChar w:fldCharType="separate"/>
          </w:r>
          <w:r>
            <w:rPr>
              <w:rFonts w:ascii="Times New Roman" w:hAnsi="Times New Roman" w:cs="Times New Roman"/>
              <w:sz w:val="30"/>
              <w:szCs w:val="30"/>
            </w:rPr>
            <w:t>52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06F196F6">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_Toc7494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3. </w:t>
          </w:r>
          <w:r>
            <w:rPr>
              <w:rFonts w:hint="default" w:ascii="Times New Roman" w:hAnsi="Times New Roman" w:eastAsia="仿宋_GB2312" w:cs="Times New Roman"/>
              <w:snapToGrid/>
              <w:kern w:val="2"/>
              <w:sz w:val="30"/>
              <w:szCs w:val="30"/>
              <w:highlight w:val="none"/>
              <w:lang w:val="en-US" w:eastAsia="zh-CN"/>
            </w:rPr>
            <w:t>引导社会公众共同参与</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_Toc7494 \h </w:instrText>
          </w:r>
          <w:r>
            <w:rPr>
              <w:rFonts w:ascii="Times New Roman" w:hAnsi="Times New Roman" w:cs="Times New Roman"/>
              <w:sz w:val="30"/>
              <w:szCs w:val="30"/>
            </w:rPr>
            <w:fldChar w:fldCharType="separate"/>
          </w:r>
          <w:r>
            <w:rPr>
              <w:rFonts w:ascii="Times New Roman" w:hAnsi="Times New Roman" w:cs="Times New Roman"/>
              <w:sz w:val="30"/>
              <w:szCs w:val="30"/>
            </w:rPr>
            <w:t>53</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48CA0690">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_Toc24325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4. </w:t>
          </w:r>
          <w:r>
            <w:rPr>
              <w:rFonts w:hint="default" w:ascii="Times New Roman" w:hAnsi="Times New Roman" w:eastAsia="仿宋_GB2312" w:cs="Times New Roman"/>
              <w:snapToGrid/>
              <w:kern w:val="2"/>
              <w:sz w:val="30"/>
              <w:szCs w:val="30"/>
              <w:highlight w:val="none"/>
              <w:lang w:val="en-US" w:eastAsia="zh-CN"/>
            </w:rPr>
            <w:t>开展绿色生活创建活动</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_Toc24325 \h </w:instrText>
          </w:r>
          <w:r>
            <w:rPr>
              <w:rFonts w:ascii="Times New Roman" w:hAnsi="Times New Roman" w:cs="Times New Roman"/>
              <w:sz w:val="30"/>
              <w:szCs w:val="30"/>
            </w:rPr>
            <w:fldChar w:fldCharType="separate"/>
          </w:r>
          <w:r>
            <w:rPr>
              <w:rFonts w:ascii="Times New Roman" w:hAnsi="Times New Roman" w:cs="Times New Roman"/>
              <w:sz w:val="30"/>
              <w:szCs w:val="30"/>
            </w:rPr>
            <w:t>54</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08EEA43">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_Toc28338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（五）生态文明制度体系建设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_Toc28338 \h </w:instrText>
          </w:r>
          <w:r>
            <w:rPr>
              <w:rFonts w:ascii="Times New Roman" w:hAnsi="Times New Roman" w:cs="Times New Roman"/>
              <w:sz w:val="30"/>
              <w:szCs w:val="30"/>
            </w:rPr>
            <w:fldChar w:fldCharType="separate"/>
          </w:r>
          <w:r>
            <w:rPr>
              <w:rFonts w:ascii="Times New Roman" w:hAnsi="Times New Roman" w:cs="Times New Roman"/>
              <w:sz w:val="30"/>
              <w:szCs w:val="30"/>
            </w:rPr>
            <w:t>55</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64D76904">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_Toc26147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1. </w:t>
          </w:r>
          <w:r>
            <w:rPr>
              <w:rFonts w:hint="default" w:ascii="Times New Roman" w:hAnsi="Times New Roman" w:eastAsia="仿宋_GB2312" w:cs="Times New Roman"/>
              <w:snapToGrid/>
              <w:kern w:val="2"/>
              <w:sz w:val="30"/>
              <w:szCs w:val="30"/>
              <w:highlight w:val="none"/>
              <w:lang w:val="en-US" w:eastAsia="zh-CN"/>
            </w:rPr>
            <w:t>落实最严格的源头管控制度</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_Toc26147 \h </w:instrText>
          </w:r>
          <w:r>
            <w:rPr>
              <w:rFonts w:ascii="Times New Roman" w:hAnsi="Times New Roman" w:cs="Times New Roman"/>
              <w:sz w:val="30"/>
              <w:szCs w:val="30"/>
            </w:rPr>
            <w:fldChar w:fldCharType="separate"/>
          </w:r>
          <w:r>
            <w:rPr>
              <w:rFonts w:ascii="Times New Roman" w:hAnsi="Times New Roman" w:cs="Times New Roman"/>
              <w:sz w:val="30"/>
              <w:szCs w:val="30"/>
            </w:rPr>
            <w:t>55</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13A9CD7D">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_Toc23762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2. </w:t>
          </w:r>
          <w:r>
            <w:rPr>
              <w:rFonts w:hint="default" w:ascii="Times New Roman" w:hAnsi="Times New Roman" w:eastAsia="仿宋_GB2312" w:cs="Times New Roman"/>
              <w:snapToGrid/>
              <w:kern w:val="2"/>
              <w:sz w:val="30"/>
              <w:szCs w:val="30"/>
              <w:highlight w:val="none"/>
              <w:lang w:val="en-US" w:eastAsia="zh-CN"/>
            </w:rPr>
            <w:t>落实最严格的过程监管制度</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_Toc23762 \h </w:instrText>
          </w:r>
          <w:r>
            <w:rPr>
              <w:rFonts w:ascii="Times New Roman" w:hAnsi="Times New Roman" w:cs="Times New Roman"/>
              <w:sz w:val="30"/>
              <w:szCs w:val="30"/>
            </w:rPr>
            <w:fldChar w:fldCharType="separate"/>
          </w:r>
          <w:r>
            <w:rPr>
              <w:rFonts w:ascii="Times New Roman" w:hAnsi="Times New Roman" w:cs="Times New Roman"/>
              <w:sz w:val="30"/>
              <w:szCs w:val="30"/>
            </w:rPr>
            <w:t>57</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F161504">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_Toc12394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3. </w:t>
          </w:r>
          <w:r>
            <w:rPr>
              <w:rFonts w:hint="default" w:ascii="Times New Roman" w:hAnsi="Times New Roman" w:eastAsia="仿宋_GB2312" w:cs="Times New Roman"/>
              <w:snapToGrid/>
              <w:kern w:val="2"/>
              <w:sz w:val="30"/>
              <w:szCs w:val="30"/>
              <w:highlight w:val="none"/>
              <w:lang w:val="en-US" w:eastAsia="zh-CN"/>
            </w:rPr>
            <w:t>完善生态环境保护体制机制</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_Toc12394 \h </w:instrText>
          </w:r>
          <w:r>
            <w:rPr>
              <w:rFonts w:ascii="Times New Roman" w:hAnsi="Times New Roman" w:cs="Times New Roman"/>
              <w:sz w:val="30"/>
              <w:szCs w:val="30"/>
            </w:rPr>
            <w:fldChar w:fldCharType="separate"/>
          </w:r>
          <w:r>
            <w:rPr>
              <w:rFonts w:ascii="Times New Roman" w:hAnsi="Times New Roman" w:cs="Times New Roman"/>
              <w:sz w:val="30"/>
              <w:szCs w:val="30"/>
            </w:rPr>
            <w:t>59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DCA3929">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_Toc25254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lang w:val="en-US" w:eastAsia="zh-CN"/>
            </w:rPr>
            <w:t xml:space="preserve">4. </w:t>
          </w:r>
          <w:r>
            <w:rPr>
              <w:rFonts w:hint="default" w:ascii="Times New Roman" w:hAnsi="Times New Roman" w:eastAsia="仿宋_GB2312" w:cs="Times New Roman"/>
              <w:snapToGrid/>
              <w:kern w:val="2"/>
              <w:sz w:val="30"/>
              <w:szCs w:val="30"/>
              <w:highlight w:val="none"/>
              <w:lang w:val="en-US" w:eastAsia="zh-CN"/>
            </w:rPr>
            <w:t>建立健全现代环境治理体系</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_Toc25254 \h </w:instrText>
          </w:r>
          <w:r>
            <w:rPr>
              <w:rFonts w:ascii="Times New Roman" w:hAnsi="Times New Roman" w:cs="Times New Roman"/>
              <w:sz w:val="30"/>
              <w:szCs w:val="30"/>
            </w:rPr>
            <w:fldChar w:fldCharType="separate"/>
          </w:r>
          <w:r>
            <w:rPr>
              <w:rFonts w:ascii="Times New Roman" w:hAnsi="Times New Roman" w:cs="Times New Roman"/>
              <w:sz w:val="30"/>
              <w:szCs w:val="30"/>
            </w:rPr>
            <w:t>60</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33BDE7D">
          <w:pPr>
            <w:pStyle w:val="16"/>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_Toc2329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cs="Times New Roman"/>
              <w:snapToGrid/>
              <w:sz w:val="30"/>
              <w:szCs w:val="30"/>
              <w:highlight w:val="none"/>
              <w:lang w:eastAsia="zh-CN"/>
            </w:rPr>
            <w:t>四、重点工程与效益分析</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_Toc2329 \h </w:instrText>
          </w:r>
          <w:r>
            <w:rPr>
              <w:rFonts w:ascii="Times New Roman" w:hAnsi="Times New Roman" w:cs="Times New Roman"/>
              <w:sz w:val="30"/>
              <w:szCs w:val="30"/>
            </w:rPr>
            <w:fldChar w:fldCharType="separate"/>
          </w:r>
          <w:r>
            <w:rPr>
              <w:rFonts w:ascii="Times New Roman" w:hAnsi="Times New Roman" w:cs="Times New Roman"/>
              <w:sz w:val="30"/>
              <w:szCs w:val="30"/>
            </w:rPr>
            <w:t>62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EAB6796">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_Toc20924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（一）工程内容与投资估算</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_Toc20924 \h </w:instrText>
          </w:r>
          <w:r>
            <w:rPr>
              <w:rFonts w:ascii="Times New Roman" w:hAnsi="Times New Roman" w:cs="Times New Roman"/>
              <w:sz w:val="30"/>
              <w:szCs w:val="30"/>
            </w:rPr>
            <w:fldChar w:fldCharType="separate"/>
          </w:r>
          <w:r>
            <w:rPr>
              <w:rFonts w:ascii="Times New Roman" w:hAnsi="Times New Roman" w:cs="Times New Roman"/>
              <w:sz w:val="30"/>
              <w:szCs w:val="30"/>
            </w:rPr>
            <w:t>62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61048491">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_Toc10635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lang w:eastAsia="zh-CN"/>
            </w:rPr>
            <w:t xml:space="preserve">（二） </w:t>
          </w:r>
          <w:r>
            <w:rPr>
              <w:rFonts w:hint="default" w:ascii="Times New Roman" w:hAnsi="Times New Roman" w:eastAsia="方正楷体_GB2312" w:cs="Times New Roman"/>
              <w:bCs/>
              <w:snapToGrid/>
              <w:kern w:val="2"/>
              <w:sz w:val="30"/>
              <w:szCs w:val="30"/>
              <w:highlight w:val="none"/>
              <w:lang w:eastAsia="zh-CN"/>
            </w:rPr>
            <w:t>效益分析</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_Toc10635 \h </w:instrText>
          </w:r>
          <w:r>
            <w:rPr>
              <w:rFonts w:ascii="Times New Roman" w:hAnsi="Times New Roman" w:cs="Times New Roman"/>
              <w:sz w:val="30"/>
              <w:szCs w:val="30"/>
            </w:rPr>
            <w:fldChar w:fldCharType="separate"/>
          </w:r>
          <w:r>
            <w:rPr>
              <w:rFonts w:ascii="Times New Roman" w:hAnsi="Times New Roman" w:cs="Times New Roman"/>
              <w:sz w:val="30"/>
              <w:szCs w:val="30"/>
            </w:rPr>
            <w:t>69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848A448">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_Toc7145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highlight w:val="none"/>
              <w:lang w:val="en-US" w:eastAsia="zh-CN"/>
            </w:rPr>
            <w:t>1.生态环境效益分析</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_Toc7145 \h </w:instrText>
          </w:r>
          <w:r>
            <w:rPr>
              <w:rFonts w:ascii="Times New Roman" w:hAnsi="Times New Roman" w:cs="Times New Roman"/>
              <w:sz w:val="30"/>
              <w:szCs w:val="30"/>
            </w:rPr>
            <w:fldChar w:fldCharType="separate"/>
          </w:r>
          <w:r>
            <w:rPr>
              <w:rFonts w:ascii="Times New Roman" w:hAnsi="Times New Roman" w:cs="Times New Roman"/>
              <w:sz w:val="30"/>
              <w:szCs w:val="30"/>
            </w:rPr>
            <w:t>69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6EA93104">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_Toc27294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highlight w:val="none"/>
              <w:lang w:val="en-US" w:eastAsia="zh-CN"/>
            </w:rPr>
            <w:t>2.经济效益分析</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_Toc27294 \h </w:instrText>
          </w:r>
          <w:r>
            <w:rPr>
              <w:rFonts w:ascii="Times New Roman" w:hAnsi="Times New Roman" w:cs="Times New Roman"/>
              <w:sz w:val="30"/>
              <w:szCs w:val="30"/>
            </w:rPr>
            <w:fldChar w:fldCharType="separate"/>
          </w:r>
          <w:r>
            <w:rPr>
              <w:rFonts w:ascii="Times New Roman" w:hAnsi="Times New Roman" w:cs="Times New Roman"/>
              <w:sz w:val="30"/>
              <w:szCs w:val="30"/>
            </w:rPr>
            <w:t>69</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82628BB">
          <w:pPr>
            <w:pStyle w:val="13"/>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_Toc4995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仿宋_GB2312" w:cs="Times New Roman"/>
              <w:snapToGrid/>
              <w:kern w:val="2"/>
              <w:sz w:val="30"/>
              <w:szCs w:val="30"/>
              <w:highlight w:val="none"/>
              <w:lang w:val="en-US" w:eastAsia="zh-CN"/>
            </w:rPr>
            <w:t>3.社会效益分析</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_Toc4995 \h </w:instrText>
          </w:r>
          <w:r>
            <w:rPr>
              <w:rFonts w:ascii="Times New Roman" w:hAnsi="Times New Roman" w:cs="Times New Roman"/>
              <w:sz w:val="30"/>
              <w:szCs w:val="30"/>
            </w:rPr>
            <w:fldChar w:fldCharType="separate"/>
          </w:r>
          <w:r>
            <w:rPr>
              <w:rFonts w:ascii="Times New Roman" w:hAnsi="Times New Roman" w:cs="Times New Roman"/>
              <w:sz w:val="30"/>
              <w:szCs w:val="30"/>
            </w:rPr>
            <w:t>70</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8286CF4">
          <w:pPr>
            <w:pStyle w:val="16"/>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_Toc1657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cs="Times New Roman"/>
              <w:snapToGrid/>
              <w:sz w:val="30"/>
              <w:szCs w:val="30"/>
              <w:highlight w:val="none"/>
              <w:lang w:val="en-US" w:eastAsia="zh-CN"/>
            </w:rPr>
            <w:t>五、</w:t>
          </w:r>
          <w:r>
            <w:rPr>
              <w:rFonts w:hint="default" w:ascii="Times New Roman" w:hAnsi="Times New Roman" w:cs="Times New Roman"/>
              <w:snapToGrid/>
              <w:sz w:val="30"/>
              <w:szCs w:val="30"/>
              <w:highlight w:val="none"/>
              <w:lang w:eastAsia="zh-CN"/>
            </w:rPr>
            <w:t>保障措施</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_Toc1657 \h </w:instrText>
          </w:r>
          <w:r>
            <w:rPr>
              <w:rFonts w:ascii="Times New Roman" w:hAnsi="Times New Roman" w:cs="Times New Roman"/>
              <w:sz w:val="30"/>
              <w:szCs w:val="30"/>
            </w:rPr>
            <w:fldChar w:fldCharType="separate"/>
          </w:r>
          <w:r>
            <w:rPr>
              <w:rFonts w:ascii="Times New Roman" w:hAnsi="Times New Roman" w:cs="Times New Roman"/>
              <w:sz w:val="30"/>
              <w:szCs w:val="30"/>
            </w:rPr>
            <w:t>70</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4CE591DA">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_Toc7830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lang w:eastAsia="zh-CN"/>
            </w:rPr>
            <w:t xml:space="preserve">（一） </w:t>
          </w:r>
          <w:r>
            <w:rPr>
              <w:rFonts w:hint="default" w:ascii="Times New Roman" w:hAnsi="Times New Roman" w:eastAsia="方正楷体_GB2312" w:cs="Times New Roman"/>
              <w:bCs/>
              <w:snapToGrid/>
              <w:kern w:val="2"/>
              <w:sz w:val="30"/>
              <w:szCs w:val="30"/>
              <w:highlight w:val="none"/>
              <w:lang w:eastAsia="zh-CN"/>
            </w:rPr>
            <w:t>组织领导</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_Toc7830 \h </w:instrText>
          </w:r>
          <w:r>
            <w:rPr>
              <w:rFonts w:ascii="Times New Roman" w:hAnsi="Times New Roman" w:cs="Times New Roman"/>
              <w:sz w:val="30"/>
              <w:szCs w:val="30"/>
            </w:rPr>
            <w:fldChar w:fldCharType="separate"/>
          </w:r>
          <w:r>
            <w:rPr>
              <w:rFonts w:ascii="Times New Roman" w:hAnsi="Times New Roman" w:cs="Times New Roman"/>
              <w:sz w:val="30"/>
              <w:szCs w:val="30"/>
            </w:rPr>
            <w:t>70</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C4090F3">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_Toc5489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（二）监督考核</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_Toc5489 \h </w:instrText>
          </w:r>
          <w:r>
            <w:rPr>
              <w:rFonts w:ascii="Times New Roman" w:hAnsi="Times New Roman" w:cs="Times New Roman"/>
              <w:sz w:val="30"/>
              <w:szCs w:val="30"/>
            </w:rPr>
            <w:fldChar w:fldCharType="separate"/>
          </w:r>
          <w:r>
            <w:rPr>
              <w:rFonts w:ascii="Times New Roman" w:hAnsi="Times New Roman" w:cs="Times New Roman"/>
              <w:sz w:val="30"/>
              <w:szCs w:val="30"/>
            </w:rPr>
            <w:t>71</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1BE82238">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_Toc31926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（三）</w:t>
          </w:r>
          <w:r>
            <w:rPr>
              <w:rFonts w:hint="default" w:ascii="Times New Roman" w:hAnsi="Times New Roman" w:eastAsia="方正楷体_GB2312" w:cs="Times New Roman"/>
              <w:bCs/>
              <w:snapToGrid/>
              <w:kern w:val="2"/>
              <w:sz w:val="30"/>
              <w:szCs w:val="30"/>
              <w:highlight w:val="none"/>
              <w:lang w:val="en-US" w:eastAsia="zh-CN"/>
            </w:rPr>
            <w:t>制度建设</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_Toc31926 \h </w:instrText>
          </w:r>
          <w:r>
            <w:rPr>
              <w:rFonts w:ascii="Times New Roman" w:hAnsi="Times New Roman" w:cs="Times New Roman"/>
              <w:sz w:val="30"/>
              <w:szCs w:val="30"/>
            </w:rPr>
            <w:fldChar w:fldCharType="separate"/>
          </w:r>
          <w:r>
            <w:rPr>
              <w:rFonts w:ascii="Times New Roman" w:hAnsi="Times New Roman" w:cs="Times New Roman"/>
              <w:sz w:val="30"/>
              <w:szCs w:val="30"/>
            </w:rPr>
            <w:t>72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33507FE1">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_Toc1816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（四）资金统筹</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_Toc1816 \h </w:instrText>
          </w:r>
          <w:r>
            <w:rPr>
              <w:rFonts w:ascii="Times New Roman" w:hAnsi="Times New Roman" w:cs="Times New Roman"/>
              <w:sz w:val="30"/>
              <w:szCs w:val="30"/>
            </w:rPr>
            <w:fldChar w:fldCharType="separate"/>
          </w:r>
          <w:r>
            <w:rPr>
              <w:rFonts w:ascii="Times New Roman" w:hAnsi="Times New Roman" w:cs="Times New Roman"/>
              <w:sz w:val="30"/>
              <w:szCs w:val="30"/>
            </w:rPr>
            <w:t>72</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781CD518">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_Toc31826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w:t>
          </w:r>
          <w:r>
            <w:rPr>
              <w:rFonts w:hint="default" w:ascii="Times New Roman" w:hAnsi="Times New Roman" w:eastAsia="方正楷体_GB2312" w:cs="Times New Roman"/>
              <w:bCs/>
              <w:snapToGrid/>
              <w:kern w:val="2"/>
              <w:sz w:val="30"/>
              <w:szCs w:val="30"/>
              <w:highlight w:val="none"/>
              <w:lang w:val="en-US" w:eastAsia="zh-CN"/>
            </w:rPr>
            <w:t>五</w:t>
          </w:r>
          <w:r>
            <w:rPr>
              <w:rFonts w:hint="default" w:ascii="Times New Roman" w:hAnsi="Times New Roman" w:eastAsia="方正楷体_GB2312" w:cs="Times New Roman"/>
              <w:bCs/>
              <w:snapToGrid/>
              <w:kern w:val="2"/>
              <w:sz w:val="30"/>
              <w:szCs w:val="30"/>
              <w:highlight w:val="none"/>
              <w:lang w:eastAsia="zh-CN"/>
            </w:rPr>
            <w:t>）科技创新</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_Toc31826 \h </w:instrText>
          </w:r>
          <w:r>
            <w:rPr>
              <w:rFonts w:ascii="Times New Roman" w:hAnsi="Times New Roman" w:cs="Times New Roman"/>
              <w:sz w:val="30"/>
              <w:szCs w:val="30"/>
            </w:rPr>
            <w:fldChar w:fldCharType="separate"/>
          </w:r>
          <w:r>
            <w:rPr>
              <w:rFonts w:ascii="Times New Roman" w:hAnsi="Times New Roman" w:cs="Times New Roman"/>
              <w:sz w:val="30"/>
              <w:szCs w:val="30"/>
            </w:rPr>
            <w:t>73</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0A887D70">
          <w:pPr>
            <w:pStyle w:val="17"/>
            <w:tabs>
              <w:tab w:val="right" w:leader="dot" w:pos="8306"/>
            </w:tabs>
            <w:rPr>
              <w:rFonts w:ascii="Times New Roman" w:hAnsi="Times New Roman" w:cs="Times New Roman"/>
              <w:sz w:val="30"/>
              <w:szCs w:val="30"/>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begin"/>
          </w:r>
          <w:r>
            <w:rPr>
              <w:rFonts w:hint="default" w:ascii="Times New Roman" w:hAnsi="Times New Roman" w:eastAsia="仿宋_GB2312" w:cs="Times New Roman"/>
              <w:bCs/>
              <w:spacing w:val="16"/>
              <w:kern w:val="0"/>
              <w:sz w:val="30"/>
              <w:szCs w:val="30"/>
              <w:highlight w:val="none"/>
            </w:rPr>
            <w:instrText xml:space="preserve"> HYPERLINK \l _Toc8376 </w:instrText>
          </w:r>
          <w:r>
            <w:rPr>
              <w:rFonts w:hint="default" w:ascii="Times New Roman" w:hAnsi="Times New Roman" w:eastAsia="仿宋_GB2312" w:cs="Times New Roman"/>
              <w:bCs/>
              <w:spacing w:val="16"/>
              <w:kern w:val="0"/>
              <w:sz w:val="30"/>
              <w:szCs w:val="30"/>
              <w:highlight w:val="none"/>
            </w:rPr>
            <w:fldChar w:fldCharType="separate"/>
          </w:r>
          <w:r>
            <w:rPr>
              <w:rFonts w:hint="default" w:ascii="Times New Roman" w:hAnsi="Times New Roman" w:eastAsia="方正楷体_GB2312" w:cs="Times New Roman"/>
              <w:bCs/>
              <w:snapToGrid/>
              <w:kern w:val="2"/>
              <w:sz w:val="30"/>
              <w:szCs w:val="30"/>
              <w:highlight w:val="none"/>
              <w:lang w:eastAsia="zh-CN"/>
            </w:rPr>
            <w:t>（</w:t>
          </w:r>
          <w:r>
            <w:rPr>
              <w:rFonts w:hint="default" w:ascii="Times New Roman" w:hAnsi="Times New Roman" w:eastAsia="方正楷体_GB2312" w:cs="Times New Roman"/>
              <w:bCs/>
              <w:snapToGrid/>
              <w:kern w:val="2"/>
              <w:sz w:val="30"/>
              <w:szCs w:val="30"/>
              <w:highlight w:val="none"/>
              <w:lang w:val="en-US" w:eastAsia="zh-CN"/>
            </w:rPr>
            <w:t>六</w:t>
          </w:r>
          <w:r>
            <w:rPr>
              <w:rFonts w:hint="default" w:ascii="Times New Roman" w:hAnsi="Times New Roman" w:eastAsia="方正楷体_GB2312" w:cs="Times New Roman"/>
              <w:bCs/>
              <w:snapToGrid/>
              <w:kern w:val="2"/>
              <w:sz w:val="30"/>
              <w:szCs w:val="30"/>
              <w:highlight w:val="none"/>
              <w:lang w:eastAsia="zh-CN"/>
            </w:rPr>
            <w:t>）社会参与</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_Toc8376 \h </w:instrText>
          </w:r>
          <w:r>
            <w:rPr>
              <w:rFonts w:ascii="Times New Roman" w:hAnsi="Times New Roman" w:cs="Times New Roman"/>
              <w:sz w:val="30"/>
              <w:szCs w:val="30"/>
            </w:rPr>
            <w:fldChar w:fldCharType="separate"/>
          </w:r>
          <w:r>
            <w:rPr>
              <w:rFonts w:ascii="Times New Roman" w:hAnsi="Times New Roman" w:cs="Times New Roman"/>
              <w:sz w:val="30"/>
              <w:szCs w:val="30"/>
            </w:rPr>
            <w:t>73</w:t>
          </w:r>
          <w:r>
            <w:rPr>
              <w:rFonts w:ascii="Times New Roman" w:hAnsi="Times New Roman" w:cs="Times New Roman"/>
              <w:sz w:val="30"/>
              <w:szCs w:val="30"/>
            </w:rPr>
            <w:fldChar w:fldCharType="end"/>
          </w: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p w14:paraId="22EE4EEF">
          <w:pPr>
            <w:widowControl/>
            <w:shd w:val="clear" w:color="auto" w:fill="FFFFFF"/>
            <w:spacing w:before="624" w:beforeLines="200" w:after="156"/>
            <w:ind w:firstLine="0" w:firstLineChars="0"/>
            <w:jc w:val="both"/>
            <w:rPr>
              <w:rFonts w:hint="default" w:ascii="Times New Roman" w:hAnsi="Times New Roman" w:eastAsia="楷体" w:cs="Times New Roman"/>
              <w:bCs/>
              <w:snapToGrid w:val="0"/>
              <w:color w:val="000000" w:themeColor="text1"/>
              <w:spacing w:val="16"/>
              <w:kern w:val="0"/>
              <w:sz w:val="30"/>
              <w:szCs w:val="30"/>
              <w:highlight w:val="none"/>
              <w:lang w:val="en-US" w:eastAsia="en-US" w:bidi="ar-SA"/>
              <w14:textFill>
                <w14:solidFill>
                  <w14:schemeClr w14:val="tx1"/>
                </w14:solidFill>
              </w14:textFill>
            </w:rPr>
          </w:pPr>
          <w:r>
            <w:rPr>
              <w:rFonts w:hint="default" w:ascii="Times New Roman" w:hAnsi="Times New Roman" w:eastAsia="仿宋_GB2312" w:cs="Times New Roman"/>
              <w:bCs/>
              <w:color w:val="000000" w:themeColor="text1"/>
              <w:spacing w:val="16"/>
              <w:kern w:val="0"/>
              <w:sz w:val="30"/>
              <w:szCs w:val="30"/>
              <w:highlight w:val="none"/>
              <w14:textFill>
                <w14:solidFill>
                  <w14:schemeClr w14:val="tx1"/>
                </w14:solidFill>
              </w14:textFill>
            </w:rPr>
            <w:fldChar w:fldCharType="end"/>
          </w:r>
        </w:p>
      </w:sdtContent>
    </w:sdt>
    <w:p w14:paraId="448FC228">
      <w:pPr>
        <w:widowControl/>
        <w:shd w:val="clear" w:color="auto" w:fill="FFFFFF"/>
        <w:spacing w:before="624" w:beforeLines="200" w:after="156"/>
        <w:ind w:firstLine="0" w:firstLineChars="0"/>
        <w:jc w:val="both"/>
        <w:rPr>
          <w:rFonts w:hint="eastAsia" w:ascii="Times New Roman" w:hAnsi="Times New Roman" w:eastAsia="楷体" w:cs="Times New Roman"/>
          <w:b/>
          <w:bCs/>
          <w:color w:val="000000" w:themeColor="text1"/>
          <w:spacing w:val="16"/>
          <w:kern w:val="0"/>
          <w:sz w:val="40"/>
          <w:szCs w:val="40"/>
          <w:highlight w:val="none"/>
          <w14:textFill>
            <w14:solidFill>
              <w14:schemeClr w14:val="tx1"/>
            </w14:solidFill>
          </w14:textFill>
        </w:rPr>
        <w:sectPr>
          <w:footerReference r:id="rId7" w:type="default"/>
          <w:pgSz w:w="11906" w:h="16838"/>
          <w:pgMar w:top="1440" w:right="1800" w:bottom="1440" w:left="1800" w:header="851" w:footer="992" w:gutter="0"/>
          <w:pgNumType w:fmt="decimal" w:start="1"/>
          <w:cols w:space="425" w:num="1"/>
          <w:docGrid w:type="lines" w:linePitch="312" w:charSpace="0"/>
        </w:sectPr>
      </w:pPr>
    </w:p>
    <w:p w14:paraId="3B51CD7B">
      <w:pPr>
        <w:pStyle w:val="2"/>
        <w:keepNext w:val="0"/>
        <w:keepLines w:val="0"/>
        <w:pageBreakBefore w:val="0"/>
        <w:widowControl w:val="0"/>
        <w:kinsoku/>
        <w:wordWrap/>
        <w:overflowPunct/>
        <w:topLinePunct w:val="0"/>
        <w:autoSpaceDE/>
        <w:autoSpaceDN/>
        <w:bidi w:val="0"/>
        <w:adjustRightInd/>
        <w:snapToGrid/>
        <w:jc w:val="both"/>
        <w:textAlignment w:val="auto"/>
        <w:rPr>
          <w:rFonts w:hint="eastAsia" w:cstheme="minorBidi"/>
          <w:snapToGrid/>
          <w:color w:val="auto"/>
          <w:szCs w:val="24"/>
          <w:highlight w:val="none"/>
          <w:lang w:val="en-US" w:eastAsia="zh-CN"/>
        </w:rPr>
      </w:pPr>
      <w:bookmarkStart w:id="4" w:name="_Toc993"/>
      <w:bookmarkStart w:id="5" w:name="_Toc24221"/>
      <w:r>
        <w:rPr>
          <w:rFonts w:hint="eastAsia" w:cstheme="minorBidi"/>
          <w:snapToGrid/>
          <w:color w:val="auto"/>
          <w:szCs w:val="24"/>
          <w:highlight w:val="none"/>
          <w:lang w:val="en-US" w:eastAsia="zh-CN"/>
        </w:rPr>
        <w:t>一、建设基础与形势分析</w:t>
      </w:r>
      <w:bookmarkEnd w:id="4"/>
      <w:bookmarkEnd w:id="5"/>
    </w:p>
    <w:p w14:paraId="1E3CF9D6">
      <w:pPr>
        <w:pStyle w:val="3"/>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6" w:name="_Toc4722"/>
      <w:bookmarkStart w:id="7" w:name="_Toc30516"/>
      <w:r>
        <w:rPr>
          <w:rFonts w:hint="eastAsia" w:ascii="方正楷体_GB2312" w:hAnsi="方正楷体_GB2312" w:eastAsia="方正楷体_GB2312" w:cs="方正楷体_GB2312"/>
          <w:b/>
          <w:bCs/>
          <w:snapToGrid/>
          <w:kern w:val="2"/>
          <w:szCs w:val="24"/>
          <w:highlight w:val="none"/>
          <w:lang w:eastAsia="zh-CN"/>
        </w:rPr>
        <w:t>（一）建设基础</w:t>
      </w:r>
      <w:bookmarkEnd w:id="6"/>
      <w:bookmarkEnd w:id="7"/>
    </w:p>
    <w:p w14:paraId="05EC6BC5">
      <w:pPr>
        <w:pStyle w:val="11"/>
        <w:widowControl w:val="0"/>
        <w:kinsoku/>
        <w:autoSpaceDE/>
        <w:autoSpaceDN/>
        <w:adjustRightInd/>
        <w:spacing w:line="360" w:lineRule="auto"/>
        <w:ind w:firstLine="600" w:firstLineChars="200"/>
        <w:jc w:val="both"/>
        <w:textAlignment w:val="auto"/>
        <w:rPr>
          <w:rFonts w:hint="eastAsia" w:ascii="Times New Roman" w:hAnsi="Times New Roman" w:eastAsia="仿宋_GB2312" w:cs="Times New Roman"/>
          <w:snapToGrid/>
          <w:color w:val="auto"/>
          <w:kern w:val="2"/>
          <w:sz w:val="30"/>
          <w:szCs w:val="30"/>
          <w:highlight w:val="none"/>
          <w:lang w:eastAsia="zh-CN"/>
        </w:rPr>
      </w:pPr>
      <w:r>
        <w:rPr>
          <w:rFonts w:hint="eastAsia" w:ascii="Times New Roman" w:hAnsi="Times New Roman" w:eastAsia="仿宋_GB2312" w:cs="Times New Roman"/>
          <w:snapToGrid/>
          <w:color w:val="auto"/>
          <w:kern w:val="2"/>
          <w:sz w:val="30"/>
          <w:szCs w:val="30"/>
          <w:highlight w:val="none"/>
          <w:lang w:eastAsia="zh-CN"/>
        </w:rPr>
        <w:t>五常市深入贯彻落实习近平生态文明思想，统筹推进“五位一体”总体布局，自被纳入首批国家级生态文明先行示范区以来，持续践行“绿水青山就是金山银山，冰天雪地也是金山银山”理念，积极打好“蓝天、碧水、净土”保卫战，深入实施美丽乡村“五带百村”工程，持续推进大规模土地绿化、湿地生态修复，河道综合治理、水土保持、土地综合治理、矿山环境恢复治理等重点生态修复工程。坚持转型升级和绿色发展“双轮驱动”，推动形成生态文明引领、资源高效利用、产业相互融合的循环产业体系，“十三五”规划确定的各项目标任务基本完成，生态环境质量保持优良，绿色循环低碳发展成效显著。进入新时代，五常市委市政府紧紧围绕落实“生态强市”战略，持续深入打好污染防治攻坚战，坚定不移推动绿色发展，严守生态保护红线、环境质量底线，生态环境保护目标责任体系逐步健全、生态安全持续稳固、生态经济稳步向好、生态制度严格落实、生态文化共建共享，五常市生态文明建设取得显著成效。</w:t>
      </w:r>
    </w:p>
    <w:p w14:paraId="416F561C">
      <w:pPr>
        <w:pStyle w:val="4"/>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8" w:name="_Toc24308"/>
      <w:bookmarkStart w:id="9" w:name="_Toc462"/>
      <w:r>
        <w:rPr>
          <w:rFonts w:hint="eastAsia" w:ascii="仿宋_GB2312" w:hAnsi="仿宋_GB2312" w:eastAsia="仿宋_GB2312" w:cs="仿宋_GB2312"/>
          <w:snapToGrid/>
          <w:kern w:val="2"/>
          <w:sz w:val="30"/>
          <w:szCs w:val="30"/>
          <w:highlight w:val="none"/>
          <w:lang w:val="en-US" w:eastAsia="zh-CN"/>
        </w:rPr>
        <w:t>责任体系逐步健全</w:t>
      </w:r>
      <w:bookmarkEnd w:id="8"/>
      <w:bookmarkEnd w:id="9"/>
    </w:p>
    <w:p w14:paraId="42AAF307">
      <w:pPr>
        <w:pStyle w:val="11"/>
        <w:keepNext w:val="0"/>
        <w:keepLines w:val="0"/>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eastAsia" w:ascii="Times New Roman" w:hAnsi="Times New Roman" w:eastAsia="仿宋_GB2312" w:cs="Times New Roman"/>
          <w:b w:val="0"/>
          <w:bCs w:val="0"/>
          <w:snapToGrid/>
          <w:color w:val="auto"/>
          <w:kern w:val="2"/>
          <w:sz w:val="30"/>
          <w:szCs w:val="30"/>
          <w:highlight w:val="none"/>
          <w:lang w:val="en-US" w:eastAsia="zh-CN" w:bidi="ar-SA"/>
        </w:rPr>
      </w:pPr>
      <w:r>
        <w:rPr>
          <w:rFonts w:hint="eastAsia" w:ascii="仿宋_GB2312" w:hAnsi="仿宋_GB2312" w:eastAsia="仿宋_GB2312" w:cs="仿宋_GB2312"/>
          <w:b/>
          <w:bCs/>
          <w:snapToGrid w:val="0"/>
          <w:color w:val="000000"/>
          <w:kern w:val="2"/>
          <w:sz w:val="30"/>
          <w:szCs w:val="30"/>
          <w:highlight w:val="none"/>
          <w:lang w:val="en-US" w:eastAsia="zh-CN" w:bidi="ar-SA"/>
        </w:rPr>
        <w:t>初步建立生态环境保护目标责任体系。一是落实责任链条。</w:t>
      </w:r>
      <w:r>
        <w:rPr>
          <w:rFonts w:hint="eastAsia" w:ascii="仿宋_GB2312" w:hAnsi="仿宋_GB2312" w:eastAsia="仿宋_GB2312" w:cs="仿宋_GB2312"/>
          <w:b w:val="0"/>
          <w:bCs w:val="0"/>
          <w:snapToGrid w:val="0"/>
          <w:color w:val="000000"/>
          <w:kern w:val="2"/>
          <w:sz w:val="30"/>
          <w:szCs w:val="30"/>
          <w:highlight w:val="none"/>
          <w:lang w:val="en-US" w:eastAsia="zh-CN" w:bidi="ar-SA"/>
        </w:rPr>
        <w:t>五常市持续</w:t>
      </w:r>
      <w:r>
        <w:rPr>
          <w:rFonts w:hint="eastAsia" w:ascii="Times New Roman" w:hAnsi="Times New Roman" w:eastAsia="仿宋_GB2312" w:cs="Times New Roman"/>
          <w:snapToGrid/>
          <w:color w:val="auto"/>
          <w:kern w:val="2"/>
          <w:sz w:val="30"/>
          <w:szCs w:val="30"/>
          <w:highlight w:val="none"/>
          <w:lang w:val="en-US" w:eastAsia="zh-CN" w:bidi="ar-SA"/>
        </w:rPr>
        <w:t>压实生态环境保护“党政同责、一岗双责”，建立健全生态文明建设目标责任体系。印发《五常市有关部门生态环境保护责任清单》《五常市环境保护工作责任规定》，明确全市生态环境保护责任，细化环境保护职责。</w:t>
      </w:r>
      <w:r>
        <w:rPr>
          <w:rFonts w:hint="eastAsia" w:ascii="Times New Roman" w:hAnsi="Times New Roman" w:eastAsia="仿宋_GB2312" w:cs="Times New Roman"/>
          <w:b/>
          <w:bCs/>
          <w:snapToGrid/>
          <w:color w:val="auto"/>
          <w:kern w:val="2"/>
          <w:sz w:val="30"/>
          <w:szCs w:val="30"/>
          <w:highlight w:val="none"/>
          <w:lang w:val="en-US" w:eastAsia="zh-CN" w:bidi="ar-SA"/>
        </w:rPr>
        <w:t>二是健全考核机制。</w:t>
      </w:r>
      <w:r>
        <w:rPr>
          <w:rFonts w:hint="eastAsia" w:ascii="Times New Roman" w:hAnsi="Times New Roman" w:eastAsia="仿宋_GB2312" w:cs="Times New Roman"/>
          <w:snapToGrid/>
          <w:color w:val="auto"/>
          <w:kern w:val="2"/>
          <w:sz w:val="30"/>
          <w:szCs w:val="30"/>
          <w:highlight w:val="none"/>
          <w:lang w:val="en-US" w:eastAsia="zh-CN" w:bidi="ar-SA"/>
        </w:rPr>
        <w:t>将生态文明建设、生态环境保护、环保督察问题整改等工作纳入全市领导干部实绩考核，出台年度目标管理考核办法及实施细则。</w:t>
      </w:r>
      <w:r>
        <w:rPr>
          <w:rFonts w:hint="eastAsia" w:ascii="Times New Roman" w:hAnsi="Times New Roman" w:eastAsia="仿宋_GB2312" w:cs="Times New Roman"/>
          <w:b/>
          <w:bCs/>
          <w:snapToGrid/>
          <w:color w:val="auto"/>
          <w:kern w:val="2"/>
          <w:sz w:val="30"/>
          <w:szCs w:val="30"/>
          <w:highlight w:val="none"/>
          <w:lang w:val="en-US" w:eastAsia="zh-CN" w:bidi="ar-SA"/>
        </w:rPr>
        <w:t>三是强化生态环境保护责任追究。</w:t>
      </w:r>
      <w:r>
        <w:rPr>
          <w:rFonts w:hint="eastAsia" w:ascii="Times New Roman" w:hAnsi="Times New Roman" w:eastAsia="仿宋_GB2312" w:cs="Times New Roman"/>
          <w:snapToGrid/>
          <w:color w:val="auto"/>
          <w:kern w:val="2"/>
          <w:sz w:val="30"/>
          <w:szCs w:val="30"/>
          <w:highlight w:val="none"/>
          <w:lang w:val="en-US" w:eastAsia="zh-CN" w:bidi="ar-SA"/>
        </w:rPr>
        <w:t>持续推进生态环境损害赔偿案件线索筛查，落实领导干部自然资源离任审计要求，2021—2023年对3名领导干部进行自然资源离任审计，促进责任的全面监督落实。</w:t>
      </w:r>
      <w:r>
        <w:rPr>
          <w:rFonts w:hint="eastAsia" w:ascii="Times New Roman" w:hAnsi="Times New Roman" w:eastAsia="仿宋_GB2312" w:cs="Times New Roman"/>
          <w:b/>
          <w:bCs/>
          <w:snapToGrid/>
          <w:color w:val="auto"/>
          <w:kern w:val="2"/>
          <w:sz w:val="30"/>
          <w:szCs w:val="30"/>
          <w:highlight w:val="none"/>
          <w:lang w:val="en-US" w:eastAsia="zh-CN" w:bidi="ar-SA"/>
        </w:rPr>
        <w:t>四是推进各类督察整改。</w:t>
      </w:r>
      <w:r>
        <w:rPr>
          <w:rFonts w:hint="eastAsia" w:ascii="Times New Roman" w:hAnsi="Times New Roman" w:eastAsia="仿宋_GB2312" w:cs="Times New Roman"/>
          <w:b w:val="0"/>
          <w:bCs w:val="0"/>
          <w:snapToGrid/>
          <w:color w:val="auto"/>
          <w:kern w:val="2"/>
          <w:sz w:val="30"/>
          <w:szCs w:val="30"/>
          <w:highlight w:val="none"/>
          <w:lang w:val="en-US" w:eastAsia="zh-CN" w:bidi="ar-SA"/>
        </w:rPr>
        <w:t>针对中央及省级督察反馈问题逐条分解任务，制定整改措施及完成时限。截至2024年第一季度，已全部完成第二轮中央生态环境保护督察转办45件信访案件，按进度推进督察反馈16个问题整改。</w:t>
      </w:r>
    </w:p>
    <w:p w14:paraId="37A07A9C">
      <w:pPr>
        <w:pStyle w:val="4"/>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10" w:name="_Toc31550"/>
      <w:bookmarkStart w:id="11" w:name="_Toc17045"/>
      <w:r>
        <w:rPr>
          <w:rFonts w:hint="eastAsia" w:ascii="仿宋_GB2312" w:hAnsi="仿宋_GB2312" w:eastAsia="仿宋_GB2312" w:cs="仿宋_GB2312"/>
          <w:snapToGrid/>
          <w:kern w:val="2"/>
          <w:sz w:val="30"/>
          <w:szCs w:val="30"/>
          <w:highlight w:val="none"/>
          <w:lang w:val="en-US" w:eastAsia="zh-CN"/>
        </w:rPr>
        <w:t>生态安全持续稳固</w:t>
      </w:r>
      <w:bookmarkEnd w:id="10"/>
      <w:bookmarkEnd w:id="11"/>
    </w:p>
    <w:p w14:paraId="74352943">
      <w:pPr>
        <w:keepNext w:val="0"/>
        <w:keepLines w:val="0"/>
        <w:pageBreakBefore w:val="0"/>
        <w:widowControl/>
        <w:suppressLineNumbers w:val="0"/>
        <w:wordWrap/>
        <w:overflowPunct/>
        <w:topLinePunct w:val="0"/>
        <w:bidi w:val="0"/>
        <w:spacing w:line="360" w:lineRule="auto"/>
        <w:ind w:firstLine="420" w:firstLineChars="0"/>
        <w:jc w:val="both"/>
        <w:rPr>
          <w:rFonts w:hint="eastAsia" w:ascii="仿宋_GB2312" w:hAnsi="仿宋_GB2312" w:eastAsia="仿宋_GB2312" w:cs="仿宋_GB2312"/>
          <w:spacing w:val="5"/>
          <w:sz w:val="30"/>
          <w:szCs w:val="30"/>
          <w:highlight w:val="none"/>
          <w:lang w:val="en-US" w:eastAsia="zh-CN"/>
        </w:rPr>
      </w:pPr>
      <w:r>
        <w:rPr>
          <w:rFonts w:hint="eastAsia" w:ascii="仿宋_GB2312" w:hAnsi="仿宋_GB2312" w:eastAsia="仿宋_GB2312" w:cs="仿宋_GB2312"/>
          <w:b/>
          <w:bCs/>
          <w:color w:val="000000"/>
          <w:kern w:val="2"/>
          <w:sz w:val="30"/>
          <w:szCs w:val="30"/>
          <w:highlight w:val="none"/>
          <w:lang w:val="en-US" w:eastAsia="zh-CN" w:bidi="ar"/>
        </w:rPr>
        <w:t>生态环境质量持续向好。</w:t>
      </w:r>
      <w:r>
        <w:rPr>
          <w:rFonts w:hint="eastAsia" w:ascii="仿宋_GB2312" w:hAnsi="仿宋_GB2312" w:eastAsia="仿宋_GB2312" w:cs="仿宋_GB2312"/>
          <w:sz w:val="30"/>
          <w:szCs w:val="30"/>
          <w:highlight w:val="none"/>
          <w:lang w:val="en-US" w:eastAsia="zh-CN"/>
        </w:rPr>
        <w:t>持续开展“蓝天、碧水、净土”保卫战，在哈尔滨市区县“实行最严格水资源管理制度考评”中获得第一，作为全省唯一县级单位被纳入首批国家级生态文明先行示范区。2022年，五常市优良天数比例98.8%，</w:t>
      </w:r>
      <w:r>
        <w:rPr>
          <w:rFonts w:hint="eastAsia" w:ascii="仿宋_GB2312" w:hAnsi="仿宋_GB2312" w:eastAsia="仿宋_GB2312" w:cs="仿宋_GB2312"/>
          <w:sz w:val="30"/>
          <w:szCs w:val="30"/>
          <w:highlight w:val="none"/>
        </w:rPr>
        <w:t>PM</w:t>
      </w:r>
      <w:r>
        <w:rPr>
          <w:rFonts w:hint="eastAsia" w:ascii="仿宋_GB2312" w:hAnsi="仿宋_GB2312" w:eastAsia="仿宋_GB2312" w:cs="仿宋_GB2312"/>
          <w:sz w:val="30"/>
          <w:szCs w:val="30"/>
          <w:highlight w:val="none"/>
          <w:vertAlign w:val="subscript"/>
        </w:rPr>
        <w:t>2.5</w:t>
      </w:r>
      <w:r>
        <w:rPr>
          <w:rFonts w:hint="eastAsia" w:ascii="仿宋_GB2312" w:hAnsi="仿宋_GB2312" w:eastAsia="仿宋_GB2312" w:cs="仿宋_GB2312"/>
          <w:sz w:val="30"/>
          <w:szCs w:val="30"/>
          <w:highlight w:val="none"/>
          <w:lang w:val="en-US" w:eastAsia="zh-CN"/>
        </w:rPr>
        <w:t>为18</w:t>
      </w:r>
      <w:r>
        <w:rPr>
          <w:rStyle w:val="24"/>
          <w:rFonts w:hint="eastAsia" w:ascii="仿宋_GB2312" w:hAnsi="仿宋_GB2312" w:eastAsia="仿宋_GB2312" w:cs="仿宋_GB2312"/>
          <w:color w:val="auto"/>
          <w:sz w:val="30"/>
          <w:szCs w:val="30"/>
          <w:highlight w:val="none"/>
          <w:lang w:bidi="ar"/>
        </w:rPr>
        <w:t>μ</w:t>
      </w:r>
      <w:r>
        <w:rPr>
          <w:rStyle w:val="25"/>
          <w:rFonts w:hint="eastAsia" w:ascii="仿宋_GB2312" w:hAnsi="仿宋_GB2312" w:eastAsia="仿宋_GB2312" w:cs="仿宋_GB2312"/>
          <w:color w:val="auto"/>
          <w:sz w:val="30"/>
          <w:szCs w:val="30"/>
          <w:highlight w:val="none"/>
          <w:lang w:bidi="ar"/>
        </w:rPr>
        <w:t>g/m</w:t>
      </w:r>
      <w:r>
        <w:rPr>
          <w:rStyle w:val="26"/>
          <w:rFonts w:hint="eastAsia" w:ascii="仿宋_GB2312" w:hAnsi="仿宋_GB2312" w:eastAsia="仿宋_GB2312" w:cs="仿宋_GB2312"/>
          <w:color w:val="auto"/>
          <w:sz w:val="30"/>
          <w:szCs w:val="30"/>
          <w:highlight w:val="none"/>
          <w:lang w:bidi="ar"/>
        </w:rPr>
        <w:t>3</w:t>
      </w:r>
      <w:r>
        <w:rPr>
          <w:rStyle w:val="26"/>
          <w:rFonts w:hint="eastAsia" w:ascii="仿宋_GB2312" w:hAnsi="仿宋_GB2312" w:eastAsia="仿宋_GB2312" w:cs="仿宋_GB2312"/>
          <w:color w:val="auto"/>
          <w:sz w:val="30"/>
          <w:szCs w:val="30"/>
          <w:highlight w:val="none"/>
          <w:vertAlign w:val="baseline"/>
          <w:lang w:eastAsia="zh-CN" w:bidi="ar"/>
        </w:rPr>
        <w:t>，</w:t>
      </w:r>
      <w:r>
        <w:rPr>
          <w:rFonts w:hint="eastAsia" w:ascii="仿宋_GB2312" w:hAnsi="仿宋_GB2312" w:eastAsia="仿宋_GB2312" w:cs="仿宋_GB2312"/>
          <w:sz w:val="30"/>
          <w:szCs w:val="30"/>
          <w:highlight w:val="none"/>
          <w:lang w:val="en-US" w:eastAsia="zh-CN"/>
        </w:rPr>
        <w:t>环境空气质量综合排名第一。2023年，五常市龙凤山水库、光荣桥及牛头山3个国控断面地表水水质达到Ⅲ类水体比例100%，其中，长胜橡胶坝和兴盛乡断面水质达到Ⅱ类，超过水质功能要求目标。2023年，县城污水处理率为99.1%，县级城市建成区黑臭水体消除率100%，农村黑臭水体达到100%消除，农用地、重点建设用地安全利用率达91%，耕地土壤有机质含量持续提升，</w:t>
      </w:r>
      <w:r>
        <w:rPr>
          <w:rFonts w:hint="eastAsia" w:ascii="仿宋_GB2312" w:hAnsi="仿宋_GB2312" w:eastAsia="仿宋_GB2312" w:cs="仿宋_GB2312"/>
          <w:spacing w:val="5"/>
          <w:sz w:val="30"/>
          <w:szCs w:val="30"/>
          <w:highlight w:val="none"/>
          <w:lang w:val="en-US" w:eastAsia="zh-CN"/>
        </w:rPr>
        <w:t>农村生活污水治理率≥30%，农业面源污染防治和黑土地保护完成省级考核目标，中央和省级环境保护督察反馈问题整改完成率100%。</w:t>
      </w:r>
    </w:p>
    <w:p w14:paraId="1D831AEA">
      <w:pPr>
        <w:keepNext w:val="0"/>
        <w:keepLines w:val="0"/>
        <w:pageBreakBefore w:val="0"/>
        <w:widowControl/>
        <w:suppressLineNumbers w:val="0"/>
        <w:wordWrap/>
        <w:overflowPunct/>
        <w:topLinePunct w:val="0"/>
        <w:bidi w:val="0"/>
        <w:spacing w:line="360" w:lineRule="auto"/>
        <w:ind w:firstLine="420" w:firstLineChars="0"/>
        <w:jc w:val="both"/>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b/>
          <w:bCs/>
          <w:color w:val="000000"/>
          <w:kern w:val="2"/>
          <w:sz w:val="30"/>
          <w:szCs w:val="30"/>
          <w:highlight w:val="none"/>
          <w:lang w:val="en-US" w:eastAsia="zh-CN" w:bidi="ar"/>
        </w:rPr>
        <w:t>生态环境保护修复成效显著。</w:t>
      </w:r>
      <w:r>
        <w:rPr>
          <w:rFonts w:hint="eastAsia" w:ascii="仿宋_GB2312" w:hAnsi="仿宋_GB2312" w:eastAsia="仿宋_GB2312" w:cs="仿宋_GB2312"/>
          <w:b w:val="0"/>
          <w:bCs w:val="0"/>
          <w:color w:val="000000"/>
          <w:kern w:val="2"/>
          <w:sz w:val="30"/>
          <w:szCs w:val="30"/>
          <w:highlight w:val="none"/>
          <w:lang w:val="en-US" w:eastAsia="zh-CN" w:bidi="ar"/>
        </w:rPr>
        <w:t>2020—2022年，五常市</w:t>
      </w:r>
      <w:r>
        <w:rPr>
          <w:rFonts w:hint="eastAsia" w:ascii="仿宋_GB2312" w:hAnsi="仿宋_GB2312" w:eastAsia="仿宋_GB2312" w:cs="仿宋_GB2312"/>
          <w:sz w:val="30"/>
          <w:szCs w:val="30"/>
          <w:highlight w:val="none"/>
          <w:lang w:val="en-US" w:eastAsia="zh-CN"/>
        </w:rPr>
        <w:t>生态质量指数（EQI）为二级，属于轻微变好，连续三年国家重点生态功能区考核结果晋位提升。2020—2022年，五常市森林覆盖率为46.36%并保持稳定，2023年达到46.43%，超过黑龙江省平均水平（43.8%）。持续加强生态功能区保护，划定生态保护红线2323平方公里，落实生态补偿政策，加强自然保护地建设，实施造林绿化工程，自然保护地和生态保护红线生态环境重点问题整改率100%。加强河湖岸线保护，强化水生态保护与修复，推进实施牤牛河、拉林河等重点流域综合治理。开展生物多样性调查与保护，形成《黑龙江大峡谷国家级自然保护区野生植物资源调查报告》、黑龙江大峡谷国家级自然保护区植物数据库和《黑龙江省山河屯林区植物图鉴》。</w:t>
      </w:r>
    </w:p>
    <w:p w14:paraId="1CF05EDE">
      <w:pPr>
        <w:keepNext w:val="0"/>
        <w:keepLines w:val="0"/>
        <w:pageBreakBefore w:val="0"/>
        <w:wordWrap/>
        <w:overflowPunct/>
        <w:topLinePunct w:val="0"/>
        <w:bidi w:val="0"/>
        <w:spacing w:line="360" w:lineRule="auto"/>
        <w:ind w:firstLine="602" w:firstLineChars="200"/>
        <w:jc w:val="both"/>
        <w:rPr>
          <w:rFonts w:hint="eastAsia" w:ascii="仿宋_GB2312" w:hAnsi="仿宋_GB2312" w:eastAsia="仿宋_GB2312" w:cs="仿宋_GB2312"/>
          <w:b w:val="0"/>
          <w:bCs/>
          <w:sz w:val="30"/>
          <w:szCs w:val="30"/>
          <w:highlight w:val="none"/>
          <w:lang w:val="en-US" w:eastAsia="zh-CN"/>
        </w:rPr>
      </w:pPr>
      <w:r>
        <w:rPr>
          <w:rFonts w:hint="eastAsia" w:ascii="仿宋_GB2312" w:hAnsi="仿宋_GB2312" w:eastAsia="仿宋_GB2312" w:cs="仿宋_GB2312"/>
          <w:b/>
          <w:bCs w:val="0"/>
          <w:sz w:val="30"/>
          <w:szCs w:val="30"/>
          <w:highlight w:val="none"/>
          <w:lang w:val="en-US" w:eastAsia="zh-CN"/>
        </w:rPr>
        <w:t>生态环境治理现代化水平不断提升。一是</w:t>
      </w:r>
      <w:r>
        <w:rPr>
          <w:rFonts w:hint="eastAsia" w:ascii="仿宋_GB2312" w:hAnsi="仿宋_GB2312" w:eastAsia="仿宋_GB2312" w:cs="仿宋_GB2312"/>
          <w:b w:val="0"/>
          <w:bCs/>
          <w:sz w:val="30"/>
          <w:szCs w:val="30"/>
          <w:highlight w:val="none"/>
          <w:lang w:val="en-US" w:eastAsia="zh-CN"/>
        </w:rPr>
        <w:t>深化“放管服”改革。加强重点项目环评保障，加快项目环评审批，2023年行政许可办结率100%。</w:t>
      </w:r>
      <w:r>
        <w:rPr>
          <w:rFonts w:hint="eastAsia" w:ascii="仿宋_GB2312" w:hAnsi="仿宋_GB2312" w:eastAsia="仿宋_GB2312" w:cs="仿宋_GB2312"/>
          <w:b/>
          <w:bCs w:val="0"/>
          <w:sz w:val="30"/>
          <w:szCs w:val="30"/>
          <w:highlight w:val="none"/>
          <w:lang w:val="en-US" w:eastAsia="zh-CN"/>
        </w:rPr>
        <w:t>二是</w:t>
      </w:r>
      <w:r>
        <w:rPr>
          <w:rFonts w:hint="eastAsia" w:ascii="仿宋_GB2312" w:hAnsi="仿宋_GB2312" w:eastAsia="仿宋_GB2312" w:cs="仿宋_GB2312"/>
          <w:b w:val="0"/>
          <w:bCs/>
          <w:sz w:val="30"/>
          <w:szCs w:val="30"/>
          <w:highlight w:val="none"/>
          <w:lang w:val="en-US" w:eastAsia="zh-CN"/>
        </w:rPr>
        <w:t>持续推进排污许可证。推进排污许可质量审核全覆盖，督促质量审核有问题的单位完成整改，对排污限期整改通知书“清零”，确保企业持证排污，深入推动落实排污许可质量复核“回头看”，督促持证排污企业及时公开自行监测信息，目前公开率已达到国家要求90%以上。</w:t>
      </w:r>
      <w:r>
        <w:rPr>
          <w:rFonts w:hint="eastAsia" w:ascii="仿宋_GB2312" w:hAnsi="仿宋_GB2312" w:eastAsia="仿宋_GB2312" w:cs="仿宋_GB2312"/>
          <w:b/>
          <w:bCs w:val="0"/>
          <w:sz w:val="30"/>
          <w:szCs w:val="30"/>
          <w:highlight w:val="none"/>
          <w:lang w:val="en-US" w:eastAsia="zh-CN"/>
        </w:rPr>
        <w:t>三是</w:t>
      </w:r>
      <w:r>
        <w:rPr>
          <w:rFonts w:hint="eastAsia" w:ascii="仿宋_GB2312" w:hAnsi="仿宋_GB2312" w:eastAsia="仿宋_GB2312" w:cs="仿宋_GB2312"/>
          <w:b w:val="0"/>
          <w:bCs/>
          <w:sz w:val="30"/>
          <w:szCs w:val="30"/>
          <w:highlight w:val="none"/>
          <w:lang w:val="en-US" w:eastAsia="zh-CN"/>
        </w:rPr>
        <w:t>加强“双公示”信息公开。每年“双公示”公示率达到100%，2023年公示行政许可20件，行政处罚3件。</w:t>
      </w:r>
      <w:r>
        <w:rPr>
          <w:rFonts w:hint="eastAsia" w:ascii="仿宋_GB2312" w:hAnsi="仿宋_GB2312" w:eastAsia="仿宋_GB2312" w:cs="仿宋_GB2312"/>
          <w:b/>
          <w:bCs w:val="0"/>
          <w:sz w:val="30"/>
          <w:szCs w:val="30"/>
          <w:highlight w:val="none"/>
          <w:lang w:val="en-US" w:eastAsia="zh-CN"/>
        </w:rPr>
        <w:t>四是</w:t>
      </w:r>
      <w:r>
        <w:rPr>
          <w:rFonts w:hint="eastAsia" w:ascii="仿宋_GB2312" w:hAnsi="仿宋_GB2312" w:eastAsia="仿宋_GB2312" w:cs="仿宋_GB2312"/>
          <w:b w:val="0"/>
          <w:bCs/>
          <w:sz w:val="30"/>
          <w:szCs w:val="30"/>
          <w:highlight w:val="none"/>
          <w:lang w:val="en-US" w:eastAsia="zh-CN"/>
        </w:rPr>
        <w:t>强化环境监管执法。深入开展专项执法行动，严肃查处环境违法行为。按照双随机管理模式，强化污染防治设施的监督检查。</w:t>
      </w:r>
      <w:r>
        <w:rPr>
          <w:rFonts w:hint="eastAsia" w:ascii="仿宋_GB2312" w:hAnsi="仿宋_GB2312" w:eastAsia="仿宋_GB2312" w:cs="仿宋_GB2312"/>
          <w:b/>
          <w:bCs w:val="0"/>
          <w:sz w:val="30"/>
          <w:szCs w:val="30"/>
          <w:highlight w:val="none"/>
          <w:lang w:val="en-US" w:eastAsia="zh-CN"/>
        </w:rPr>
        <w:t>五是</w:t>
      </w:r>
      <w:r>
        <w:rPr>
          <w:rFonts w:hint="eastAsia" w:ascii="仿宋_GB2312" w:hAnsi="仿宋_GB2312" w:eastAsia="仿宋_GB2312" w:cs="仿宋_GB2312"/>
          <w:b w:val="0"/>
          <w:bCs/>
          <w:sz w:val="30"/>
          <w:szCs w:val="30"/>
          <w:highlight w:val="none"/>
          <w:lang w:val="en-US" w:eastAsia="zh-CN"/>
        </w:rPr>
        <w:t>妥善调处各类污染纠纷。2023年共查处人民群众来信来访及污染纠纷72件，处理率达100%。</w:t>
      </w:r>
    </w:p>
    <w:p w14:paraId="4142BF45">
      <w:pPr>
        <w:keepNext w:val="0"/>
        <w:keepLines w:val="0"/>
        <w:pageBreakBefore w:val="0"/>
        <w:wordWrap/>
        <w:overflowPunct/>
        <w:topLinePunct w:val="0"/>
        <w:bidi w:val="0"/>
        <w:spacing w:line="360" w:lineRule="auto"/>
        <w:ind w:firstLine="602" w:firstLineChars="200"/>
        <w:jc w:val="both"/>
        <w:rPr>
          <w:rFonts w:hint="eastAsia" w:ascii="仿宋_GB2312" w:hAnsi="仿宋_GB2312" w:eastAsia="仿宋_GB2312" w:cs="仿宋_GB2312"/>
          <w:b/>
          <w:bCs/>
          <w:color w:val="000000"/>
          <w:kern w:val="2"/>
          <w:sz w:val="30"/>
          <w:szCs w:val="30"/>
          <w:highlight w:val="none"/>
          <w:lang w:val="en-US" w:eastAsia="zh-CN" w:bidi="ar"/>
        </w:rPr>
      </w:pPr>
      <w:r>
        <w:rPr>
          <w:rFonts w:hint="eastAsia" w:ascii="仿宋_GB2312" w:hAnsi="仿宋_GB2312" w:eastAsia="仿宋_GB2312" w:cs="仿宋_GB2312"/>
          <w:b/>
          <w:bCs/>
          <w:color w:val="000000"/>
          <w:kern w:val="2"/>
          <w:sz w:val="30"/>
          <w:szCs w:val="30"/>
          <w:highlight w:val="none"/>
          <w:lang w:val="en-US" w:eastAsia="zh-CN" w:bidi="ar"/>
        </w:rPr>
        <w:t>生态环境风险防范能力持续提升。</w:t>
      </w:r>
      <w:r>
        <w:rPr>
          <w:rFonts w:hint="eastAsia" w:ascii="仿宋_GB2312" w:hAnsi="仿宋_GB2312" w:eastAsia="仿宋_GB2312" w:cs="仿宋_GB2312"/>
          <w:sz w:val="30"/>
          <w:szCs w:val="30"/>
          <w:highlight w:val="none"/>
        </w:rPr>
        <w:t>建立源头严防、过程严管、后果严惩</w:t>
      </w:r>
      <w:r>
        <w:rPr>
          <w:rFonts w:hint="eastAsia" w:ascii="仿宋_GB2312" w:hAnsi="仿宋_GB2312" w:eastAsia="仿宋_GB2312" w:cs="仿宋_GB2312"/>
          <w:sz w:val="30"/>
          <w:szCs w:val="30"/>
          <w:highlight w:val="none"/>
          <w:lang w:eastAsia="zh-CN"/>
        </w:rPr>
        <w:t>的</w:t>
      </w:r>
      <w:r>
        <w:rPr>
          <w:rFonts w:hint="eastAsia" w:ascii="仿宋_GB2312" w:hAnsi="仿宋_GB2312" w:eastAsia="仿宋_GB2312" w:cs="仿宋_GB2312"/>
          <w:sz w:val="30"/>
          <w:szCs w:val="30"/>
          <w:highlight w:val="none"/>
        </w:rPr>
        <w:t>危险废物监管体系，开展危废规范化</w:t>
      </w:r>
      <w:r>
        <w:rPr>
          <w:rFonts w:hint="eastAsia" w:ascii="仿宋_GB2312" w:hAnsi="仿宋_GB2312" w:eastAsia="仿宋_GB2312" w:cs="仿宋_GB2312"/>
          <w:sz w:val="30"/>
          <w:szCs w:val="30"/>
          <w:highlight w:val="none"/>
          <w:lang w:val="en-US" w:eastAsia="zh-CN"/>
        </w:rPr>
        <w:t>管理</w:t>
      </w:r>
      <w:r>
        <w:rPr>
          <w:rFonts w:hint="eastAsia" w:ascii="仿宋_GB2312" w:hAnsi="仿宋_GB2312" w:eastAsia="仿宋_GB2312" w:cs="仿宋_GB2312"/>
          <w:sz w:val="30"/>
          <w:szCs w:val="30"/>
          <w:highlight w:val="none"/>
        </w:rPr>
        <w:t>，将危险废物经营单位、危险废物年产生量10吨及以上单位纳入评估范围</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rPr>
        <w:t>危险废物专项整治三年行动取得显著成效</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rPr>
        <w:t>严密防控环境风险，全</w:t>
      </w:r>
      <w:r>
        <w:rPr>
          <w:rFonts w:hint="eastAsia" w:ascii="仿宋_GB2312" w:hAnsi="仿宋_GB2312" w:eastAsia="仿宋_GB2312" w:cs="仿宋_GB2312"/>
          <w:sz w:val="30"/>
          <w:szCs w:val="30"/>
          <w:highlight w:val="none"/>
          <w:lang w:val="en-US" w:eastAsia="zh-CN"/>
        </w:rPr>
        <w:t>市</w:t>
      </w:r>
      <w:r>
        <w:rPr>
          <w:rFonts w:hint="eastAsia" w:ascii="仿宋_GB2312" w:hAnsi="仿宋_GB2312" w:eastAsia="仿宋_GB2312" w:cs="仿宋_GB2312"/>
          <w:sz w:val="30"/>
          <w:szCs w:val="30"/>
          <w:highlight w:val="none"/>
        </w:rPr>
        <w:t>完成突发环境事件应急预案备案，对辖区</w:t>
      </w:r>
      <w:r>
        <w:rPr>
          <w:rFonts w:hint="eastAsia" w:ascii="仿宋_GB2312" w:hAnsi="仿宋_GB2312" w:eastAsia="仿宋_GB2312" w:cs="仿宋_GB2312"/>
          <w:sz w:val="30"/>
          <w:szCs w:val="30"/>
          <w:highlight w:val="none"/>
          <w:lang w:val="en-US" w:eastAsia="zh-CN"/>
        </w:rPr>
        <w:t>多</w:t>
      </w:r>
      <w:r>
        <w:rPr>
          <w:rFonts w:hint="eastAsia" w:ascii="仿宋_GB2312" w:hAnsi="仿宋_GB2312" w:eastAsia="仿宋_GB2312" w:cs="仿宋_GB2312"/>
          <w:sz w:val="30"/>
          <w:szCs w:val="30"/>
          <w:highlight w:val="none"/>
        </w:rPr>
        <w:t>家企业环境风险源排查抽查全部达标</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rPr>
        <w:t>202</w:t>
      </w:r>
      <w:r>
        <w:rPr>
          <w:rFonts w:hint="eastAsia" w:ascii="仿宋_GB2312" w:hAnsi="仿宋_GB2312" w:eastAsia="仿宋_GB2312" w:cs="仿宋_GB2312"/>
          <w:sz w:val="30"/>
          <w:szCs w:val="30"/>
          <w:highlight w:val="none"/>
          <w:lang w:val="en-US" w:eastAsia="zh-CN"/>
        </w:rPr>
        <w:t>1—2023</w:t>
      </w:r>
      <w:r>
        <w:rPr>
          <w:rFonts w:hint="eastAsia" w:ascii="仿宋_GB2312" w:hAnsi="仿宋_GB2312" w:eastAsia="仿宋_GB2312" w:cs="仿宋_GB2312"/>
          <w:sz w:val="30"/>
          <w:szCs w:val="30"/>
          <w:highlight w:val="none"/>
        </w:rPr>
        <w:t>年</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rPr>
        <w:t>与</w:t>
      </w:r>
      <w:r>
        <w:rPr>
          <w:rFonts w:hint="eastAsia" w:ascii="仿宋_GB2312" w:hAnsi="仿宋_GB2312" w:eastAsia="仿宋_GB2312" w:cs="仿宋_GB2312"/>
          <w:sz w:val="30"/>
          <w:szCs w:val="30"/>
          <w:highlight w:val="none"/>
          <w:lang w:val="en-US" w:eastAsia="zh-CN"/>
        </w:rPr>
        <w:t>哈尔滨</w:t>
      </w:r>
      <w:r>
        <w:rPr>
          <w:rFonts w:hint="eastAsia" w:ascii="仿宋_GB2312" w:hAnsi="仿宋_GB2312" w:eastAsia="仿宋_GB2312" w:cs="仿宋_GB2312"/>
          <w:sz w:val="30"/>
          <w:szCs w:val="30"/>
          <w:highlight w:val="none"/>
        </w:rPr>
        <w:t>市同步启动重污染天气应急预案，2022年以来</w:t>
      </w:r>
      <w:r>
        <w:rPr>
          <w:rFonts w:hint="eastAsia" w:ascii="仿宋_GB2312" w:hAnsi="仿宋_GB2312" w:eastAsia="仿宋_GB2312" w:cs="仿宋_GB2312"/>
          <w:sz w:val="30"/>
          <w:szCs w:val="30"/>
          <w:highlight w:val="none"/>
          <w:lang w:val="en-US" w:eastAsia="zh-CN"/>
        </w:rPr>
        <w:t>五常市</w:t>
      </w:r>
      <w:r>
        <w:rPr>
          <w:rFonts w:hint="eastAsia" w:ascii="仿宋_GB2312" w:hAnsi="仿宋_GB2312" w:eastAsia="仿宋_GB2312" w:cs="仿宋_GB2312"/>
          <w:sz w:val="30"/>
          <w:szCs w:val="30"/>
          <w:highlight w:val="none"/>
        </w:rPr>
        <w:t>开展应急监测演练2次。建立健全</w:t>
      </w:r>
      <w:r>
        <w:rPr>
          <w:rFonts w:hint="eastAsia" w:ascii="仿宋_GB2312" w:hAnsi="仿宋_GB2312" w:eastAsia="仿宋_GB2312" w:cs="仿宋_GB2312"/>
          <w:sz w:val="30"/>
          <w:szCs w:val="30"/>
          <w:highlight w:val="none"/>
          <w:lang w:val="en-US" w:eastAsia="zh-CN"/>
        </w:rPr>
        <w:t>省、市、县</w:t>
      </w:r>
      <w:r>
        <w:rPr>
          <w:rFonts w:hint="eastAsia" w:ascii="仿宋_GB2312" w:hAnsi="仿宋_GB2312" w:eastAsia="仿宋_GB2312" w:cs="仿宋_GB2312"/>
          <w:sz w:val="30"/>
          <w:szCs w:val="30"/>
          <w:highlight w:val="none"/>
        </w:rPr>
        <w:t>三级自然灾害预警机制</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lang w:val="en-US" w:eastAsia="zh-CN"/>
        </w:rPr>
        <w:t>2023年五常市发生7.28洪涝灾害</w:t>
      </w:r>
      <w:r>
        <w:rPr>
          <w:rFonts w:hint="eastAsia" w:ascii="仿宋_GB2312" w:hAnsi="仿宋_GB2312" w:eastAsia="仿宋_GB2312" w:cs="仿宋_GB2312"/>
          <w:sz w:val="30"/>
          <w:szCs w:val="30"/>
          <w:highlight w:val="none"/>
        </w:rPr>
        <w:t>，</w:t>
      </w:r>
      <w:r>
        <w:rPr>
          <w:rFonts w:hint="eastAsia" w:ascii="仿宋_GB2312" w:hAnsi="仿宋_GB2312" w:eastAsia="仿宋_GB2312" w:cs="仿宋_GB2312"/>
          <w:b w:val="0"/>
          <w:bCs w:val="0"/>
          <w:sz w:val="30"/>
          <w:szCs w:val="30"/>
          <w:highlight w:val="none"/>
        </w:rPr>
        <w:t>与</w:t>
      </w:r>
      <w:r>
        <w:rPr>
          <w:rFonts w:hint="eastAsia" w:ascii="仿宋_GB2312" w:hAnsi="仿宋_GB2312" w:eastAsia="仿宋_GB2312" w:cs="仿宋_GB2312"/>
          <w:b w:val="0"/>
          <w:bCs w:val="0"/>
          <w:sz w:val="30"/>
          <w:szCs w:val="30"/>
          <w:highlight w:val="none"/>
          <w:lang w:val="en-US" w:eastAsia="zh-CN"/>
        </w:rPr>
        <w:t>哈尔滨</w:t>
      </w:r>
      <w:r>
        <w:rPr>
          <w:rFonts w:hint="eastAsia" w:ascii="仿宋_GB2312" w:hAnsi="仿宋_GB2312" w:eastAsia="仿宋_GB2312" w:cs="仿宋_GB2312"/>
          <w:b w:val="0"/>
          <w:bCs w:val="0"/>
          <w:sz w:val="30"/>
          <w:szCs w:val="30"/>
          <w:highlight w:val="none"/>
        </w:rPr>
        <w:t>市、周边市县建立常态化联勤联动机制，建立物资保障、应急救援联动机制，实现</w:t>
      </w:r>
      <w:r>
        <w:rPr>
          <w:rFonts w:hint="eastAsia" w:ascii="仿宋_GB2312" w:hAnsi="仿宋_GB2312" w:eastAsia="仿宋_GB2312" w:cs="仿宋_GB2312"/>
          <w:b w:val="0"/>
          <w:bCs w:val="0"/>
          <w:sz w:val="30"/>
          <w:szCs w:val="30"/>
          <w:highlight w:val="none"/>
          <w:lang w:val="en-US" w:eastAsia="zh-CN"/>
        </w:rPr>
        <w:t>区域</w:t>
      </w:r>
      <w:r>
        <w:rPr>
          <w:rFonts w:hint="eastAsia" w:ascii="仿宋_GB2312" w:hAnsi="仿宋_GB2312" w:eastAsia="仿宋_GB2312" w:cs="仿宋_GB2312"/>
          <w:b w:val="0"/>
          <w:bCs w:val="0"/>
          <w:sz w:val="30"/>
          <w:szCs w:val="30"/>
          <w:highlight w:val="none"/>
        </w:rPr>
        <w:t>应对事故灾难等突发事件“一盘棋”。</w:t>
      </w:r>
    </w:p>
    <w:p w14:paraId="75C860F2">
      <w:pPr>
        <w:pStyle w:val="4"/>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12" w:name="_Toc30913"/>
      <w:bookmarkStart w:id="13" w:name="_Toc11856"/>
      <w:r>
        <w:rPr>
          <w:rFonts w:hint="eastAsia" w:ascii="仿宋_GB2312" w:hAnsi="仿宋_GB2312" w:eastAsia="仿宋_GB2312" w:cs="仿宋_GB2312"/>
          <w:snapToGrid/>
          <w:kern w:val="2"/>
          <w:sz w:val="30"/>
          <w:szCs w:val="30"/>
          <w:highlight w:val="none"/>
          <w:lang w:val="en-US" w:eastAsia="zh-CN"/>
        </w:rPr>
        <w:t>生态经济稳步向好</w:t>
      </w:r>
      <w:bookmarkEnd w:id="12"/>
      <w:bookmarkEnd w:id="13"/>
    </w:p>
    <w:p w14:paraId="6000CDCA">
      <w:pPr>
        <w:keepNext w:val="0"/>
        <w:keepLines w:val="0"/>
        <w:pageBreakBefore w:val="0"/>
        <w:widowControl w:val="0"/>
        <w:kinsoku/>
        <w:wordWrap/>
        <w:overflowPunct/>
        <w:topLinePunct w:val="0"/>
        <w:autoSpaceDE/>
        <w:autoSpaceDN/>
        <w:bidi w:val="0"/>
        <w:adjustRightInd/>
        <w:snapToGrid/>
        <w:spacing w:line="360" w:lineRule="auto"/>
        <w:ind w:left="0" w:leftChars="0" w:firstLine="482"/>
        <w:jc w:val="both"/>
        <w:textAlignment w:val="auto"/>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b/>
          <w:bCs w:val="0"/>
          <w:sz w:val="30"/>
          <w:szCs w:val="30"/>
          <w:highlight w:val="none"/>
          <w:lang w:val="en-US" w:eastAsia="zh-CN"/>
        </w:rPr>
        <w:t>积极推进生态农业发展</w:t>
      </w:r>
      <w:r>
        <w:rPr>
          <w:rFonts w:hint="eastAsia" w:ascii="仿宋_GB2312" w:hAnsi="仿宋_GB2312" w:eastAsia="仿宋_GB2312" w:cs="仿宋_GB2312"/>
          <w:bCs/>
          <w:sz w:val="30"/>
          <w:szCs w:val="30"/>
          <w:highlight w:val="none"/>
          <w:lang w:val="en-US" w:eastAsia="zh-CN"/>
        </w:rPr>
        <w:t>。五常市持续优化农业结构，</w:t>
      </w:r>
      <w:r>
        <w:rPr>
          <w:rFonts w:hint="eastAsia" w:ascii="仿宋_GB2312" w:hAnsi="仿宋_GB2312" w:eastAsia="仿宋_GB2312" w:cs="仿宋_GB2312"/>
          <w:sz w:val="30"/>
          <w:szCs w:val="30"/>
          <w:highlight w:val="none"/>
          <w:lang w:val="en-US" w:eastAsia="zh-CN"/>
        </w:rPr>
        <w:t>深入实施五常大米产业提升工程，“溯源中国·稻乡五常”数字经济高质量发展平台落户五常，</w:t>
      </w:r>
      <w:r>
        <w:rPr>
          <w:rFonts w:hint="eastAsia" w:ascii="仿宋_GB2312" w:hAnsi="仿宋_GB2312" w:eastAsia="仿宋_GB2312" w:cs="仿宋_GB2312"/>
          <w:b w:val="0"/>
          <w:bCs w:val="0"/>
          <w:sz w:val="30"/>
          <w:szCs w:val="30"/>
          <w:highlight w:val="none"/>
          <w:lang w:val="en-US" w:eastAsia="zh-CN"/>
        </w:rPr>
        <w:t>五米常香、十月稻田、乔府大院品牌占据“龙江电商好物榜”前3名，</w:t>
      </w:r>
      <w:r>
        <w:rPr>
          <w:rFonts w:hint="eastAsia" w:ascii="仿宋_GB2312" w:hAnsi="仿宋_GB2312" w:eastAsia="仿宋_GB2312" w:cs="仿宋_GB2312"/>
          <w:sz w:val="30"/>
          <w:szCs w:val="30"/>
          <w:highlight w:val="none"/>
          <w:lang w:val="en-US" w:eastAsia="zh-CN"/>
        </w:rPr>
        <w:t>水稻种源建设取得突破性进展，五常大米标准体系全面推广应用，稻米产业实现标准化、产业化、集团化、品牌化、国际化发展，五常大米品牌价值突破710亿元，连续四年荣获黑龙江大米节金奖，连续九年地标产品大米类全国第一，2024年位列世界稻米地理标志（县域）品牌百强榜单第1名，品牌价值和影响力持续提升。</w:t>
      </w:r>
      <w:r>
        <w:rPr>
          <w:rFonts w:hint="eastAsia" w:ascii="仿宋_GB2312" w:hAnsi="仿宋_GB2312" w:eastAsia="仿宋_GB2312" w:cs="仿宋_GB2312"/>
          <w:bCs/>
          <w:sz w:val="30"/>
          <w:szCs w:val="30"/>
          <w:highlight w:val="none"/>
          <w:lang w:val="en-US" w:eastAsia="zh-CN"/>
        </w:rPr>
        <w:t>以绿色食品深加工产业链为主要产业集群，促进现代农业提质和提档升级，</w:t>
      </w:r>
      <w:r>
        <w:rPr>
          <w:rFonts w:hint="eastAsia" w:ascii="仿宋_GB2312" w:hAnsi="仿宋_GB2312" w:eastAsia="仿宋_GB2312" w:cs="仿宋_GB2312"/>
          <w:sz w:val="30"/>
          <w:szCs w:val="30"/>
          <w:highlight w:val="none"/>
          <w:lang w:val="en-US" w:eastAsia="zh-CN"/>
        </w:rPr>
        <w:t>特色农业产业发展成果显著，拉林大白菜、山河白黄瓜等地域农产品积极申报地理标志商标，2022年牛家镇政新村被评为全国“一村一品”示范村，2023年全市16家企业28款产品获得“黑土优品”授权，“两瓜”、蔬菜、食用菌等特色经济稳步推进，中药材示范基地建设扎实开展。五常市大果榛子种植扩面提质，被中国经济林协会授予“中国优质榛子产业化基地”荣誉称号。</w:t>
      </w:r>
      <w:r>
        <w:rPr>
          <w:rFonts w:hint="eastAsia" w:ascii="仿宋_GB2312" w:hAnsi="仿宋_GB2312" w:eastAsia="仿宋_GB2312" w:cs="仿宋_GB2312"/>
          <w:bCs/>
          <w:sz w:val="30"/>
          <w:szCs w:val="30"/>
          <w:highlight w:val="none"/>
          <w:lang w:val="en-US" w:eastAsia="zh-CN"/>
        </w:rPr>
        <w:t>坚决落实粮食安全责任制，实施节水扩稻工程，2022年粮食产量38.5亿斤，</w:t>
      </w:r>
      <w:r>
        <w:rPr>
          <w:rFonts w:hint="eastAsia" w:ascii="仿宋_GB2312" w:hAnsi="仿宋_GB2312" w:eastAsia="仿宋_GB2312" w:cs="仿宋_GB2312"/>
          <w:sz w:val="30"/>
          <w:szCs w:val="30"/>
          <w:highlight w:val="none"/>
          <w:lang w:val="en-US" w:eastAsia="zh-CN"/>
        </w:rPr>
        <w:t>2023年粮食种植面积稳定在430万亩以上。</w:t>
      </w:r>
    </w:p>
    <w:p w14:paraId="7929DFFF">
      <w:pPr>
        <w:keepNext w:val="0"/>
        <w:keepLines w:val="0"/>
        <w:pageBreakBefore w:val="0"/>
        <w:widowControl w:val="0"/>
        <w:kinsoku/>
        <w:wordWrap/>
        <w:overflowPunct/>
        <w:topLinePunct w:val="0"/>
        <w:autoSpaceDE/>
        <w:autoSpaceDN/>
        <w:bidi w:val="0"/>
        <w:adjustRightInd/>
        <w:snapToGrid/>
        <w:spacing w:line="360" w:lineRule="auto"/>
        <w:ind w:left="0" w:leftChars="0" w:firstLine="482"/>
        <w:jc w:val="both"/>
        <w:textAlignment w:val="auto"/>
        <w:rPr>
          <w:rFonts w:hint="eastAsia" w:ascii="仿宋_GB2312" w:hAnsi="仿宋_GB2312" w:eastAsia="仿宋_GB2312" w:cs="仿宋_GB2312"/>
          <w:b w:val="0"/>
          <w:bCs w:val="0"/>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持续推动生态工业绿色发展。</w:t>
      </w:r>
      <w:r>
        <w:rPr>
          <w:rFonts w:hint="eastAsia" w:ascii="仿宋_GB2312" w:hAnsi="仿宋_GB2312" w:eastAsia="仿宋_GB2312" w:cs="仿宋_GB2312"/>
          <w:b w:val="0"/>
          <w:bCs w:val="0"/>
          <w:sz w:val="30"/>
          <w:szCs w:val="30"/>
          <w:highlight w:val="none"/>
          <w:lang w:val="en-US" w:eastAsia="zh-CN"/>
        </w:rPr>
        <w:t>坚定实施“工业强市”战略，2022—2023年，实施省百大、哈尔滨市重点产业项目38个，超额完成年度投资目标。</w:t>
      </w:r>
      <w:r>
        <w:rPr>
          <w:rFonts w:hint="eastAsia" w:ascii="仿宋_GB2312" w:hAnsi="仿宋_GB2312" w:eastAsia="仿宋_GB2312" w:cs="仿宋_GB2312"/>
          <w:sz w:val="30"/>
          <w:szCs w:val="30"/>
          <w:highlight w:val="none"/>
          <w:lang w:val="en-US" w:eastAsia="zh-CN"/>
        </w:rPr>
        <w:t>绿色低碳发展走在前列，</w:t>
      </w:r>
      <w:r>
        <w:rPr>
          <w:rFonts w:hint="eastAsia" w:ascii="仿宋_GB2312" w:hAnsi="仿宋_GB2312" w:eastAsia="仿宋_GB2312" w:cs="仿宋_GB2312"/>
          <w:b w:val="0"/>
          <w:bCs w:val="0"/>
          <w:sz w:val="30"/>
          <w:szCs w:val="30"/>
          <w:highlight w:val="none"/>
          <w:lang w:val="en-US" w:eastAsia="zh-CN"/>
        </w:rPr>
        <w:t>开展葵花药业、协合风力发电、秸乐农业等生态工业产业项目，支持葵花药业、松鹤制药等骨干企业做大做强。2023年出台《关于加快产业振兴、促进五常市域经济高质量发展的实施意见》《五常市工业振兴行动方案（2023—2026年）》，以生物医药、食品加工、装备制造、特色文旅为引领的现代产业体系初具规模，其中，五常开发区纳入省“百千亿园区”培育计划，位列省级开发区前列。实施数字经济项目10个，新增省级数字化车间企业、国家专精特新“小巨人”企业、省级“创新型”中小企业14户，5户企业入驻龙哈工业云，科技要素不断集聚。招商引资全年签约额186.38亿元，稻香飘米糠油、悦歌中央厨房等7个项目实现当年签约当年开工建设投产，全年实际利用省域外资金17.62亿元，同比增长12.4%。坚持以电商“新业态”撬动经济“新潜能”，电商营业额持续增长。</w:t>
      </w:r>
    </w:p>
    <w:p w14:paraId="37DC6631">
      <w:pPr>
        <w:keepNext w:val="0"/>
        <w:keepLines w:val="0"/>
        <w:pageBreakBefore w:val="0"/>
        <w:widowControl w:val="0"/>
        <w:kinsoku/>
        <w:wordWrap/>
        <w:overflowPunct/>
        <w:topLinePunct w:val="0"/>
        <w:autoSpaceDE/>
        <w:autoSpaceDN/>
        <w:bidi w:val="0"/>
        <w:adjustRightInd/>
        <w:snapToGrid/>
        <w:spacing w:line="360" w:lineRule="auto"/>
        <w:ind w:left="0" w:leftChars="0" w:firstLine="482"/>
        <w:jc w:val="both"/>
        <w:textAlignment w:val="auto"/>
        <w:rPr>
          <w:rFonts w:hint="eastAsia" w:ascii="仿宋_GB2312" w:hAnsi="仿宋_GB2312" w:eastAsia="仿宋_GB2312" w:cs="仿宋_GB2312"/>
          <w:b w:val="0"/>
          <w:bCs w:val="0"/>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培育发展生态文旅新业态。</w:t>
      </w:r>
      <w:r>
        <w:rPr>
          <w:rFonts w:hint="eastAsia" w:ascii="仿宋_GB2312" w:hAnsi="仿宋_GB2312" w:eastAsia="仿宋_GB2312" w:cs="仿宋_GB2312"/>
          <w:b w:val="0"/>
          <w:bCs w:val="0"/>
          <w:sz w:val="30"/>
          <w:szCs w:val="30"/>
          <w:highlight w:val="none"/>
          <w:lang w:val="en-US" w:eastAsia="zh-CN"/>
        </w:rPr>
        <w:t>五常市围绕“一季变四季，一域变全域”发展理念，坚持以文塑旅、以旅彰文，加快培育农文旅、体文旅、科文旅、工文旅深度融合新型业态，</w:t>
      </w:r>
      <w:r>
        <w:rPr>
          <w:rFonts w:hint="eastAsia" w:ascii="仿宋_GB2312" w:hAnsi="仿宋_GB2312" w:eastAsia="仿宋_GB2312" w:cs="仿宋_GB2312"/>
          <w:b w:val="0"/>
          <w:bCs w:val="0"/>
          <w:snapToGrid/>
          <w:kern w:val="2"/>
          <w:sz w:val="30"/>
          <w:szCs w:val="30"/>
          <w:highlight w:val="none"/>
          <w:lang w:eastAsia="zh-CN"/>
        </w:rPr>
        <w:t>大力发展乡村旅游、休闲农业、健康养生等</w:t>
      </w:r>
      <w:r>
        <w:rPr>
          <w:rFonts w:hint="eastAsia" w:ascii="仿宋_GB2312" w:hAnsi="仿宋_GB2312" w:eastAsia="仿宋_GB2312" w:cs="仿宋_GB2312"/>
          <w:b w:val="0"/>
          <w:bCs w:val="0"/>
          <w:snapToGrid/>
          <w:kern w:val="2"/>
          <w:sz w:val="30"/>
          <w:szCs w:val="30"/>
          <w:highlight w:val="none"/>
          <w:lang w:val="en-US" w:eastAsia="zh-CN"/>
        </w:rPr>
        <w:t>产业，</w:t>
      </w:r>
      <w:r>
        <w:rPr>
          <w:rFonts w:hint="eastAsia" w:ascii="仿宋_GB2312" w:hAnsi="仿宋_GB2312" w:eastAsia="仿宋_GB2312" w:cs="仿宋_GB2312"/>
          <w:b w:val="0"/>
          <w:bCs w:val="0"/>
          <w:sz w:val="30"/>
          <w:szCs w:val="30"/>
          <w:highlight w:val="none"/>
          <w:lang w:val="en-US" w:eastAsia="zh-CN"/>
        </w:rPr>
        <w:t>充分释放三产活力。实施《五常全域旅游发展规划暨三年行动计划》，形成稻乡风情游、凤凰山四季游、雪谷穿越等旅游品牌，举办“冰雪经济发展论坛”、五常市文旅创意产品展览会、冰雪旅游推介会、中国稻乡·生态五常“米食节”暨乔府大院插秧节等系列大型活动，专题推介旅游线路、特色食品和非遗文创，推出新兴冰雪旅游产品和全域旅游线路。2022年，全年共接待游客85万人次，增长14%。全年实现旅游业务收入3.1亿元，增长26%。2023年，建成游客服务中心，推进龙凤山镇东兴村等乡村旅游项目建设。2024年，举办五常市举办“中国旅游日”活动－首届农民文化艺术节，提升五常市旅游品牌影响力。五常市“文博图”三馆免费开放，推动文化产业、旅游产业融合发展。</w:t>
      </w:r>
    </w:p>
    <w:p w14:paraId="2783BBF1">
      <w:pPr>
        <w:pStyle w:val="4"/>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14" w:name="_Toc24067"/>
      <w:bookmarkStart w:id="15" w:name="_Toc5413"/>
      <w:r>
        <w:rPr>
          <w:rFonts w:hint="eastAsia" w:ascii="仿宋_GB2312" w:hAnsi="仿宋_GB2312" w:eastAsia="仿宋_GB2312" w:cs="仿宋_GB2312"/>
          <w:snapToGrid/>
          <w:kern w:val="2"/>
          <w:sz w:val="30"/>
          <w:szCs w:val="30"/>
          <w:highlight w:val="none"/>
          <w:lang w:val="en-US" w:eastAsia="zh-CN"/>
        </w:rPr>
        <w:t>生态生活日新月异</w:t>
      </w:r>
      <w:bookmarkEnd w:id="14"/>
      <w:bookmarkEnd w:id="15"/>
    </w:p>
    <w:p w14:paraId="30060FB8">
      <w:pPr>
        <w:keepNext w:val="0"/>
        <w:keepLines w:val="0"/>
        <w:pageBreakBefore w:val="0"/>
        <w:wordWrap/>
        <w:overflowPunct/>
        <w:topLinePunct w:val="0"/>
        <w:bidi w:val="0"/>
        <w:spacing w:line="360" w:lineRule="auto"/>
        <w:ind w:firstLine="602" w:firstLineChars="200"/>
        <w:jc w:val="both"/>
        <w:rPr>
          <w:rFonts w:hint="eastAsia" w:ascii="仿宋_GB2312" w:hAnsi="仿宋_GB2312" w:eastAsia="仿宋_GB2312" w:cs="仿宋_GB2312"/>
          <w:b w:val="0"/>
          <w:bCs w:val="0"/>
          <w:sz w:val="30"/>
          <w:szCs w:val="30"/>
          <w:highlight w:val="none"/>
          <w:lang w:val="en-US" w:eastAsia="zh-CN"/>
        </w:rPr>
      </w:pPr>
      <w:r>
        <w:rPr>
          <w:rFonts w:hint="eastAsia" w:ascii="仿宋_GB2312" w:hAnsi="仿宋_GB2312" w:eastAsia="仿宋_GB2312" w:cs="仿宋_GB2312"/>
          <w:b/>
          <w:sz w:val="30"/>
          <w:szCs w:val="30"/>
          <w:highlight w:val="none"/>
        </w:rPr>
        <w:t>城市功能和生活品质进一步提升</w:t>
      </w:r>
      <w:r>
        <w:rPr>
          <w:rFonts w:hint="eastAsia" w:ascii="仿宋_GB2312" w:hAnsi="仿宋_GB2312" w:eastAsia="仿宋_GB2312" w:cs="仿宋_GB2312"/>
          <w:sz w:val="30"/>
          <w:szCs w:val="30"/>
          <w:highlight w:val="none"/>
        </w:rPr>
        <w:t>。</w:t>
      </w:r>
      <w:r>
        <w:rPr>
          <w:rFonts w:hint="eastAsia" w:ascii="仿宋_GB2312" w:hAnsi="仿宋_GB2312" w:eastAsia="仿宋_GB2312" w:cs="仿宋_GB2312"/>
          <w:b w:val="0"/>
          <w:bCs w:val="0"/>
          <w:sz w:val="30"/>
          <w:szCs w:val="30"/>
          <w:highlight w:val="none"/>
          <w:lang w:val="en-US" w:eastAsia="zh-CN"/>
        </w:rPr>
        <w:t>坚持兴业宜居、建管并重，打造“宜居幸福之都”，五常市城市智慧管理体系逐步完善。开展市容环境专项整治行动，完成城市绿化年度目标任务，有效应对暴雪天气，全力保畅通、保安全、保民生，城区保洁率、洒水除尘率、冰雪清运率、垃圾处理率持续保持100%，城乡面貌持续改善。2022年，完成小山子污水处理厂建设，启动北部供水厂、牛家污水处理厂提标改造工程，实现重点镇污水收集全覆盖；启动城镇二次供水设施改造和山河镇、沙河子镇供水工程建设，持续改善居民用水条件，垃圾焚烧发电项目投入运营，城区生活垃圾实现“零填埋”，取得历史性突破。</w:t>
      </w:r>
    </w:p>
    <w:p w14:paraId="34BC07E0">
      <w:pPr>
        <w:keepNext w:val="0"/>
        <w:keepLines w:val="0"/>
        <w:pageBreakBefore w:val="0"/>
        <w:wordWrap/>
        <w:overflowPunct/>
        <w:topLinePunct w:val="0"/>
        <w:bidi w:val="0"/>
        <w:spacing w:line="360" w:lineRule="auto"/>
        <w:ind w:firstLine="602" w:firstLineChars="200"/>
        <w:jc w:val="both"/>
        <w:rPr>
          <w:rFonts w:hint="eastAsia" w:ascii="仿宋_GB2312" w:hAnsi="仿宋_GB2312" w:eastAsia="仿宋_GB2312" w:cs="仿宋_GB2312"/>
          <w:sz w:val="30"/>
          <w:szCs w:val="30"/>
          <w:highlight w:val="none"/>
        </w:rPr>
      </w:pPr>
      <w:r>
        <w:rPr>
          <w:rFonts w:hint="eastAsia" w:ascii="仿宋_GB2312" w:hAnsi="仿宋_GB2312" w:eastAsia="仿宋_GB2312" w:cs="仿宋_GB2312"/>
          <w:b/>
          <w:sz w:val="30"/>
          <w:szCs w:val="30"/>
          <w:highlight w:val="none"/>
        </w:rPr>
        <w:t>农村人居环境整治取得积极成效</w:t>
      </w:r>
      <w:r>
        <w:rPr>
          <w:rFonts w:hint="eastAsia" w:ascii="仿宋_GB2312" w:hAnsi="仿宋_GB2312" w:eastAsia="仿宋_GB2312" w:cs="仿宋_GB2312"/>
          <w:sz w:val="30"/>
          <w:szCs w:val="30"/>
          <w:highlight w:val="none"/>
        </w:rPr>
        <w:t>。</w:t>
      </w:r>
      <w:r>
        <w:rPr>
          <w:rFonts w:hint="eastAsia" w:ascii="仿宋_GB2312" w:hAnsi="仿宋_GB2312" w:eastAsia="仿宋_GB2312" w:cs="仿宋_GB2312"/>
          <w:sz w:val="30"/>
          <w:szCs w:val="30"/>
          <w:highlight w:val="none"/>
          <w:lang w:val="en-US" w:eastAsia="zh-CN"/>
        </w:rPr>
        <w:t>五常市</w:t>
      </w:r>
      <w:r>
        <w:rPr>
          <w:rFonts w:hint="eastAsia" w:ascii="仿宋_GB2312" w:hAnsi="仿宋_GB2312" w:eastAsia="仿宋_GB2312" w:cs="仿宋_GB2312"/>
          <w:sz w:val="30"/>
          <w:szCs w:val="30"/>
          <w:highlight w:val="none"/>
        </w:rPr>
        <w:t>始终将人居环境整治任务放在乡村振兴工作大局中整体谋划和推进，深入实施美丽乡村“五带百村”工程，修建农村公路，村屯环境优美整洁，促进</w:t>
      </w:r>
      <w:r>
        <w:rPr>
          <w:rFonts w:hint="eastAsia" w:ascii="仿宋_GB2312" w:hAnsi="仿宋_GB2312" w:eastAsia="仿宋_GB2312" w:cs="仿宋_GB2312"/>
          <w:sz w:val="30"/>
          <w:szCs w:val="30"/>
          <w:highlight w:val="none"/>
          <w:lang w:val="en-US" w:eastAsia="zh-CN"/>
        </w:rPr>
        <w:t>农村</w:t>
      </w:r>
      <w:r>
        <w:rPr>
          <w:rFonts w:hint="eastAsia" w:ascii="仿宋_GB2312" w:hAnsi="仿宋_GB2312" w:eastAsia="仿宋_GB2312" w:cs="仿宋_GB2312"/>
          <w:sz w:val="30"/>
          <w:szCs w:val="30"/>
          <w:highlight w:val="none"/>
        </w:rPr>
        <w:t>生态环境更加宜居宜业，擦亮</w:t>
      </w:r>
      <w:r>
        <w:rPr>
          <w:rFonts w:hint="eastAsia" w:ascii="仿宋_GB2312" w:hAnsi="仿宋_GB2312" w:eastAsia="仿宋_GB2312" w:cs="仿宋_GB2312"/>
          <w:sz w:val="30"/>
          <w:szCs w:val="30"/>
          <w:highlight w:val="none"/>
          <w:lang w:val="en-US" w:eastAsia="zh-CN"/>
        </w:rPr>
        <w:t>农村</w:t>
      </w:r>
      <w:r>
        <w:rPr>
          <w:rFonts w:hint="eastAsia" w:ascii="仿宋_GB2312" w:hAnsi="仿宋_GB2312" w:eastAsia="仿宋_GB2312" w:cs="仿宋_GB2312"/>
          <w:sz w:val="30"/>
          <w:szCs w:val="30"/>
          <w:highlight w:val="none"/>
        </w:rPr>
        <w:t>“文化底色”，提振乡村振兴信心和动力</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lang w:val="en-US" w:eastAsia="zh-CN"/>
        </w:rPr>
        <w:t>建设</w:t>
      </w:r>
      <w:r>
        <w:rPr>
          <w:rFonts w:hint="eastAsia" w:ascii="仿宋_GB2312" w:hAnsi="仿宋_GB2312" w:eastAsia="仿宋_GB2312" w:cs="仿宋_GB2312"/>
          <w:snapToGrid w:val="0"/>
          <w:color w:val="000000"/>
          <w:kern w:val="0"/>
          <w:sz w:val="30"/>
          <w:szCs w:val="30"/>
          <w:highlight w:val="none"/>
          <w:lang w:val="en-US" w:eastAsia="zh-CN" w:bidi="ar-SA"/>
        </w:rPr>
        <w:t>省级美丽宜居村庄7个、省级龙江民居村3个、和美乡村星级村11个</w:t>
      </w:r>
      <w:r>
        <w:rPr>
          <w:rFonts w:hint="eastAsia" w:ascii="仿宋_GB2312" w:hAnsi="仿宋_GB2312" w:eastAsia="仿宋_GB2312" w:cs="仿宋_GB2312"/>
          <w:sz w:val="30"/>
          <w:szCs w:val="30"/>
          <w:highlight w:val="none"/>
        </w:rPr>
        <w:t>。</w:t>
      </w:r>
      <w:r>
        <w:rPr>
          <w:rFonts w:hint="eastAsia" w:ascii="仿宋_GB2312" w:hAnsi="仿宋_GB2312" w:eastAsia="仿宋_GB2312" w:cs="仿宋_GB2312"/>
          <w:sz w:val="30"/>
          <w:szCs w:val="30"/>
          <w:highlight w:val="none"/>
          <w:lang w:val="en-US" w:eastAsia="zh-CN"/>
        </w:rPr>
        <w:t>一是</w:t>
      </w:r>
      <w:r>
        <w:rPr>
          <w:rFonts w:hint="eastAsia" w:ascii="仿宋_GB2312" w:hAnsi="仿宋_GB2312" w:eastAsia="仿宋_GB2312" w:cs="仿宋_GB2312"/>
          <w:b w:val="0"/>
          <w:bCs w:val="0"/>
          <w:sz w:val="30"/>
          <w:szCs w:val="30"/>
          <w:highlight w:val="none"/>
          <w:lang w:val="en-US" w:eastAsia="zh-CN"/>
        </w:rPr>
        <w:t>扎实推进农村人居环境整治提升行动，2022—2023年，清理农村生活垃圾13.76万立方米，农业生产废弃物2.2万立方米，完成问题户厕整改6400余户，城乡面貌持续改善。二是加大农村生活污水、小微水体整治力度，常态化推进磨盘山水源地环境综合治理，饮用水源地环境得到有效保护，被生态环境部列为先进典型。三是农村公路列养率实现100%，农村公路养护保持全省第一名。</w:t>
      </w:r>
    </w:p>
    <w:p w14:paraId="63662EAA">
      <w:pPr>
        <w:keepNext w:val="0"/>
        <w:keepLines w:val="0"/>
        <w:pageBreakBefore w:val="0"/>
        <w:wordWrap/>
        <w:overflowPunct/>
        <w:topLinePunct w:val="0"/>
        <w:bidi w:val="0"/>
        <w:spacing w:line="360" w:lineRule="auto"/>
        <w:ind w:firstLine="602" w:firstLineChars="200"/>
        <w:jc w:val="both"/>
        <w:rPr>
          <w:rFonts w:hint="eastAsia" w:ascii="仿宋_GB2312" w:hAnsi="仿宋_GB2312" w:eastAsia="仿宋_GB2312" w:cs="仿宋_GB2312"/>
          <w:b w:val="0"/>
          <w:bCs/>
          <w:sz w:val="30"/>
          <w:szCs w:val="30"/>
          <w:highlight w:val="none"/>
        </w:rPr>
      </w:pPr>
      <w:r>
        <w:rPr>
          <w:rFonts w:hint="eastAsia" w:ascii="仿宋_GB2312" w:hAnsi="仿宋_GB2312" w:eastAsia="仿宋_GB2312" w:cs="仿宋_GB2312"/>
          <w:b/>
          <w:sz w:val="30"/>
          <w:szCs w:val="30"/>
          <w:highlight w:val="none"/>
        </w:rPr>
        <w:t>多措并举培育推广绿色生活方式。</w:t>
      </w:r>
      <w:r>
        <w:rPr>
          <w:rFonts w:hint="eastAsia" w:ascii="仿宋_GB2312" w:hAnsi="仿宋_GB2312" w:eastAsia="仿宋_GB2312" w:cs="仿宋_GB2312"/>
          <w:b w:val="0"/>
          <w:bCs/>
          <w:sz w:val="30"/>
          <w:szCs w:val="30"/>
          <w:highlight w:val="none"/>
        </w:rPr>
        <w:t>全面启动城乡生活垃圾分类和处置，引导商场、超市、酒店、商业综合体规范生活垃圾分类管理，健全完善生活垃圾分类过程中“发现及时、解决有效”的问题处理机制。大力发展绿色公共交通，积极落实新能源公交车推广应用工作要求，</w:t>
      </w:r>
      <w:r>
        <w:rPr>
          <w:rFonts w:hint="eastAsia" w:ascii="仿宋_GB2312" w:hAnsi="仿宋_GB2312" w:eastAsia="仿宋_GB2312" w:cs="仿宋_GB2312"/>
          <w:b w:val="0"/>
          <w:bCs/>
          <w:sz w:val="30"/>
          <w:szCs w:val="30"/>
          <w:highlight w:val="none"/>
          <w:lang w:val="en-US" w:eastAsia="zh-CN"/>
        </w:rPr>
        <w:t>2021—2023年，五常市</w:t>
      </w:r>
      <w:r>
        <w:rPr>
          <w:rFonts w:hint="eastAsia" w:ascii="仿宋_GB2312" w:hAnsi="仿宋_GB2312" w:eastAsia="仿宋_GB2312" w:cs="仿宋_GB2312"/>
          <w:b w:val="0"/>
          <w:bCs/>
          <w:sz w:val="30"/>
          <w:szCs w:val="30"/>
          <w:highlight w:val="none"/>
        </w:rPr>
        <w:t>新增和更新公共汽电车中新能源和清洁能源车辆比例</w:t>
      </w:r>
      <w:r>
        <w:rPr>
          <w:rFonts w:hint="eastAsia" w:ascii="仿宋_GB2312" w:hAnsi="仿宋_GB2312" w:eastAsia="仿宋_GB2312" w:cs="仿宋_GB2312"/>
          <w:b w:val="0"/>
          <w:bCs/>
          <w:sz w:val="30"/>
          <w:szCs w:val="30"/>
          <w:highlight w:val="none"/>
          <w:lang w:val="en-US" w:eastAsia="zh-CN"/>
        </w:rPr>
        <w:t>为100%。进一步规范政府采购节能产品、环境标志产品行为，有效落实节能标识监管，促进绿色产品市场推广。</w:t>
      </w:r>
      <w:r>
        <w:rPr>
          <w:rFonts w:hint="eastAsia" w:ascii="仿宋_GB2312" w:hAnsi="仿宋_GB2312" w:eastAsia="仿宋_GB2312" w:cs="仿宋_GB2312"/>
          <w:b w:val="0"/>
          <w:bCs/>
          <w:sz w:val="30"/>
          <w:szCs w:val="30"/>
          <w:highlight w:val="none"/>
        </w:rPr>
        <w:t>打造“大生态”格局，</w:t>
      </w:r>
      <w:r>
        <w:rPr>
          <w:rFonts w:hint="eastAsia" w:ascii="仿宋_GB2312" w:hAnsi="仿宋_GB2312" w:eastAsia="仿宋_GB2312" w:cs="仿宋_GB2312"/>
          <w:b w:val="0"/>
          <w:bCs/>
          <w:sz w:val="30"/>
          <w:szCs w:val="30"/>
          <w:highlight w:val="none"/>
          <w:lang w:val="en-US" w:eastAsia="zh-CN"/>
        </w:rPr>
        <w:t>五常市</w:t>
      </w:r>
      <w:r>
        <w:rPr>
          <w:rFonts w:hint="eastAsia" w:ascii="仿宋_GB2312" w:hAnsi="仿宋_GB2312" w:eastAsia="仿宋_GB2312" w:cs="仿宋_GB2312"/>
          <w:b w:val="0"/>
          <w:bCs/>
          <w:sz w:val="30"/>
          <w:szCs w:val="30"/>
          <w:highlight w:val="none"/>
        </w:rPr>
        <w:t>积极创建节约型机关、绿色家庭、绿色学校、绿色社区，</w:t>
      </w:r>
      <w:r>
        <w:rPr>
          <w:rFonts w:hint="eastAsia" w:ascii="仿宋_GB2312" w:hAnsi="仿宋_GB2312" w:eastAsia="仿宋_GB2312" w:cs="仿宋_GB2312"/>
          <w:b w:val="0"/>
          <w:bCs/>
          <w:sz w:val="30"/>
          <w:szCs w:val="30"/>
          <w:highlight w:val="none"/>
          <w:lang w:val="en-US" w:eastAsia="zh-CN"/>
        </w:rPr>
        <w:t>推进</w:t>
      </w:r>
      <w:r>
        <w:rPr>
          <w:rFonts w:hint="eastAsia" w:ascii="仿宋_GB2312" w:hAnsi="仿宋_GB2312" w:eastAsia="仿宋_GB2312" w:cs="仿宋_GB2312"/>
          <w:b w:val="0"/>
          <w:bCs/>
          <w:sz w:val="30"/>
          <w:szCs w:val="30"/>
          <w:highlight w:val="none"/>
        </w:rPr>
        <w:t>“低碳环保、绿色生态”成为群众的自觉行动。</w:t>
      </w:r>
    </w:p>
    <w:p w14:paraId="763D26FC">
      <w:pPr>
        <w:pStyle w:val="4"/>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16" w:name="_Toc1527"/>
      <w:bookmarkStart w:id="17" w:name="_Toc22045"/>
      <w:r>
        <w:rPr>
          <w:rFonts w:hint="eastAsia" w:ascii="仿宋_GB2312" w:hAnsi="仿宋_GB2312" w:eastAsia="仿宋_GB2312" w:cs="仿宋_GB2312"/>
          <w:snapToGrid/>
          <w:kern w:val="2"/>
          <w:sz w:val="30"/>
          <w:szCs w:val="30"/>
          <w:highlight w:val="none"/>
          <w:lang w:val="en-US" w:eastAsia="zh-CN"/>
        </w:rPr>
        <w:t>生态制度严格落实</w:t>
      </w:r>
      <w:bookmarkEnd w:id="16"/>
      <w:bookmarkEnd w:id="17"/>
    </w:p>
    <w:p w14:paraId="7D5029A7">
      <w:pPr>
        <w:keepNext w:val="0"/>
        <w:keepLines w:val="0"/>
        <w:pageBreakBefore w:val="0"/>
        <w:widowControl/>
        <w:suppressLineNumbers w:val="0"/>
        <w:wordWrap/>
        <w:overflowPunct/>
        <w:topLinePunct w:val="0"/>
        <w:bidi w:val="0"/>
        <w:spacing w:line="360" w:lineRule="auto"/>
        <w:ind w:firstLine="420" w:firstLineChars="0"/>
        <w:jc w:val="both"/>
        <w:rPr>
          <w:rFonts w:hint="default" w:ascii="仿宋_GB2312" w:hAnsi="仿宋_GB2312" w:eastAsia="仿宋_GB2312" w:cs="仿宋_GB2312"/>
          <w:sz w:val="30"/>
          <w:szCs w:val="30"/>
          <w:highlight w:val="none"/>
          <w:lang w:val="en-US" w:eastAsia="zh-CN"/>
        </w:rPr>
      </w:pPr>
      <w:r>
        <w:rPr>
          <w:rFonts w:hint="eastAsia" w:ascii="仿宋_GB2312" w:hAnsi="仿宋_GB2312" w:eastAsia="仿宋_GB2312" w:cs="仿宋_GB2312"/>
          <w:b/>
          <w:sz w:val="30"/>
          <w:szCs w:val="30"/>
          <w:highlight w:val="none"/>
          <w:lang w:val="en-US" w:eastAsia="zh-CN"/>
        </w:rPr>
        <w:t>生态文明制度的“四梁八柱”初步建立。</w:t>
      </w:r>
      <w:r>
        <w:rPr>
          <w:rFonts w:hint="eastAsia" w:ascii="仿宋_GB2312" w:hAnsi="仿宋_GB2312" w:eastAsia="仿宋_GB2312" w:cs="仿宋_GB2312"/>
          <w:b/>
          <w:bCs/>
          <w:sz w:val="30"/>
          <w:szCs w:val="30"/>
          <w:highlight w:val="none"/>
          <w:lang w:val="en-US" w:eastAsia="zh-CN"/>
        </w:rPr>
        <w:t>一是</w:t>
      </w:r>
      <w:r>
        <w:rPr>
          <w:rFonts w:hint="eastAsia" w:ascii="仿宋_GB2312" w:hAnsi="仿宋_GB2312" w:eastAsia="仿宋_GB2312" w:cs="仿宋_GB2312"/>
          <w:b w:val="0"/>
          <w:bCs w:val="0"/>
          <w:sz w:val="30"/>
          <w:szCs w:val="30"/>
          <w:highlight w:val="none"/>
          <w:lang w:val="en-US" w:eastAsia="zh-CN"/>
        </w:rPr>
        <w:t>建立生态文明组织领导体系。</w:t>
      </w:r>
      <w:r>
        <w:rPr>
          <w:rFonts w:hint="eastAsia" w:ascii="仿宋_GB2312" w:hAnsi="仿宋_GB2312" w:eastAsia="仿宋_GB2312" w:cs="仿宋_GB2312"/>
          <w:snapToGrid w:val="0"/>
          <w:color w:val="000000"/>
          <w:kern w:val="2"/>
          <w:sz w:val="30"/>
          <w:szCs w:val="30"/>
          <w:highlight w:val="none"/>
          <w:lang w:val="en-US" w:eastAsia="zh-CN" w:bidi="ar-SA"/>
        </w:rPr>
        <w:t>成立了以市委书记、市长为双组长的生态环境保护委员会、生态文明建设领导小组、生物多样性保护工作领导小组、“无废城市”建设领导小组、市中央生态环境保护督察整改工作领导小组等领导体系。</w:t>
      </w:r>
      <w:r>
        <w:rPr>
          <w:rFonts w:hint="eastAsia" w:ascii="仿宋_GB2312" w:hAnsi="仿宋_GB2312" w:eastAsia="仿宋_GB2312" w:cs="仿宋_GB2312"/>
          <w:b/>
          <w:bCs/>
          <w:snapToGrid w:val="0"/>
          <w:color w:val="000000"/>
          <w:kern w:val="2"/>
          <w:sz w:val="30"/>
          <w:szCs w:val="30"/>
          <w:highlight w:val="none"/>
          <w:lang w:val="en-US" w:eastAsia="zh-CN" w:bidi="ar-SA"/>
        </w:rPr>
        <w:t>二是</w:t>
      </w:r>
      <w:r>
        <w:rPr>
          <w:rFonts w:hint="eastAsia" w:ascii="仿宋_GB2312" w:hAnsi="仿宋_GB2312" w:eastAsia="仿宋_GB2312" w:cs="仿宋_GB2312"/>
          <w:b w:val="0"/>
          <w:bCs w:val="0"/>
          <w:snapToGrid w:val="0"/>
          <w:color w:val="000000"/>
          <w:kern w:val="2"/>
          <w:sz w:val="30"/>
          <w:szCs w:val="30"/>
          <w:highlight w:val="none"/>
          <w:lang w:val="en-US" w:eastAsia="zh-CN" w:bidi="ar-SA"/>
        </w:rPr>
        <w:t>制定以用途管制为主要手段的国土空间开发保护制度体系。</w:t>
      </w:r>
      <w:r>
        <w:rPr>
          <w:rFonts w:hint="eastAsia" w:ascii="仿宋_GB2312" w:hAnsi="仿宋_GB2312" w:eastAsia="仿宋_GB2312" w:cs="仿宋_GB2312"/>
          <w:snapToGrid w:val="0"/>
          <w:color w:val="000000"/>
          <w:kern w:val="2"/>
          <w:sz w:val="30"/>
          <w:szCs w:val="30"/>
          <w:highlight w:val="none"/>
          <w:lang w:val="en-US" w:eastAsia="zh-CN" w:bidi="ar-SA"/>
        </w:rPr>
        <w:t>编制县级国土空间规划，明确禁止和限制大规模、高强度开发建设区域，优化国土空间格局。</w:t>
      </w:r>
      <w:r>
        <w:rPr>
          <w:rFonts w:hint="eastAsia" w:ascii="仿宋_GB2312" w:hAnsi="仿宋_GB2312" w:eastAsia="仿宋_GB2312" w:cs="仿宋_GB2312"/>
          <w:b/>
          <w:bCs/>
          <w:snapToGrid w:val="0"/>
          <w:color w:val="000000"/>
          <w:kern w:val="2"/>
          <w:sz w:val="30"/>
          <w:szCs w:val="30"/>
          <w:highlight w:val="none"/>
          <w:lang w:val="en-US" w:eastAsia="zh-CN" w:bidi="ar-SA"/>
        </w:rPr>
        <w:t>三是</w:t>
      </w:r>
      <w:r>
        <w:rPr>
          <w:rFonts w:hint="eastAsia" w:ascii="仿宋_GB2312" w:hAnsi="仿宋_GB2312" w:eastAsia="仿宋_GB2312" w:cs="仿宋_GB2312"/>
          <w:snapToGrid w:val="0"/>
          <w:color w:val="000000"/>
          <w:kern w:val="2"/>
          <w:sz w:val="30"/>
          <w:szCs w:val="30"/>
          <w:highlight w:val="none"/>
          <w:lang w:val="en-US" w:eastAsia="zh-CN" w:bidi="ar-SA"/>
        </w:rPr>
        <w:t>构建以改善环境质量为导向的环境治理制度体系。制定《五常市深入打好污染防治攻坚战责任分工方案》《五常市空气质量改善三年行动方案（2022—2024年）》《五常市入河排污口监督管理工作方案》等文件，构建系统监管</w:t>
      </w:r>
      <w:r>
        <w:rPr>
          <w:rFonts w:hint="eastAsia" w:ascii="仿宋_GB2312" w:hAnsi="仿宋_GB2312" w:eastAsia="仿宋_GB2312" w:cs="仿宋_GB2312"/>
          <w:sz w:val="30"/>
          <w:szCs w:val="30"/>
          <w:highlight w:val="none"/>
          <w:lang w:val="en-US" w:eastAsia="zh-CN"/>
        </w:rPr>
        <w:t>、执法严明、多方参与的环境治理体系。</w:t>
      </w:r>
      <w:r>
        <w:rPr>
          <w:rFonts w:hint="eastAsia" w:ascii="仿宋_GB2312" w:hAnsi="仿宋_GB2312" w:eastAsia="仿宋_GB2312" w:cs="仿宋_GB2312"/>
          <w:b/>
          <w:bCs/>
          <w:sz w:val="30"/>
          <w:szCs w:val="30"/>
          <w:highlight w:val="none"/>
          <w:lang w:val="en-US" w:eastAsia="zh-CN"/>
        </w:rPr>
        <w:t>四是</w:t>
      </w:r>
      <w:r>
        <w:rPr>
          <w:rFonts w:hint="eastAsia" w:ascii="仿宋_GB2312" w:hAnsi="仿宋_GB2312" w:eastAsia="仿宋_GB2312" w:cs="仿宋_GB2312"/>
          <w:sz w:val="30"/>
          <w:szCs w:val="30"/>
          <w:highlight w:val="none"/>
          <w:lang w:val="en-US" w:eastAsia="zh-CN"/>
        </w:rPr>
        <w:t>构建资源高效利用的集约节约制度体系。以《五常市完整准确全面贯彻新发展理念做好碳达峰碳中和工作任务清单》为抓手，形成覆盖全面、科学规范、管理严格的资源总量管理和全面节约制度措施，着力解决资源使用浪费严重、利用效率不高等问题，加快形成全民参与的绿色生产生活方式。</w:t>
      </w:r>
    </w:p>
    <w:p w14:paraId="620E95F0">
      <w:pPr>
        <w:pStyle w:val="4"/>
        <w:keepNext w:val="0"/>
        <w:keepLines w:val="0"/>
        <w:pageBreakBefore w:val="0"/>
        <w:widowControl w:val="0"/>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18" w:name="_Toc30885"/>
      <w:bookmarkStart w:id="19" w:name="_Toc4929"/>
      <w:r>
        <w:rPr>
          <w:rFonts w:hint="eastAsia" w:ascii="仿宋_GB2312" w:hAnsi="仿宋_GB2312" w:eastAsia="仿宋_GB2312" w:cs="仿宋_GB2312"/>
          <w:snapToGrid/>
          <w:kern w:val="2"/>
          <w:sz w:val="30"/>
          <w:szCs w:val="30"/>
          <w:highlight w:val="none"/>
          <w:lang w:val="en-US" w:eastAsia="zh-CN"/>
        </w:rPr>
        <w:t>生态文化共建共享</w:t>
      </w:r>
      <w:bookmarkEnd w:id="18"/>
      <w:bookmarkEnd w:id="19"/>
    </w:p>
    <w:p w14:paraId="47FCBBFA">
      <w:pPr>
        <w:keepNext w:val="0"/>
        <w:keepLines w:val="0"/>
        <w:pageBreakBefore w:val="0"/>
        <w:widowControl/>
        <w:suppressLineNumbers w:val="0"/>
        <w:wordWrap/>
        <w:overflowPunct/>
        <w:topLinePunct w:val="0"/>
        <w:bidi w:val="0"/>
        <w:spacing w:line="360" w:lineRule="auto"/>
        <w:ind w:firstLine="602" w:firstLineChars="200"/>
        <w:jc w:val="both"/>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深入实施文化惠民工程。</w:t>
      </w:r>
      <w:r>
        <w:rPr>
          <w:rFonts w:hint="eastAsia" w:ascii="仿宋_GB2312" w:hAnsi="仿宋_GB2312" w:eastAsia="仿宋_GB2312" w:cs="仿宋_GB2312"/>
          <w:sz w:val="30"/>
          <w:szCs w:val="30"/>
          <w:highlight w:val="none"/>
          <w:lang w:val="en-US" w:eastAsia="zh-CN"/>
        </w:rPr>
        <w:t>积极挖掘五常生态文化资源，打造特色文化产品，不断提升全民生态文化素养。在全市261个农家书屋重点打造市图书总分馆工程，建立五个总分馆。建成57个村级文化广场，承办“大地欢歌”全国夏季村晚、“5.19中国旅游日”等主题活动，开展文艺下乡百余场，建设融媒体中心、乡镇综合文化站、农村文化大院等思想意识形态阵地，群众生活更加丰富。加强历史文化遗产保护传承，丰富优化文旅产品供给，打造“仁义礼智信”农村乡风文明品牌，让人民群众享有更加充实、更为丰富、更高质量的美好生活。</w:t>
      </w:r>
    </w:p>
    <w:p w14:paraId="1EE89AB0">
      <w:pPr>
        <w:keepNext w:val="0"/>
        <w:keepLines w:val="0"/>
        <w:pageBreakBefore w:val="0"/>
        <w:widowControl/>
        <w:suppressLineNumbers w:val="0"/>
        <w:wordWrap/>
        <w:overflowPunct/>
        <w:topLinePunct w:val="0"/>
        <w:bidi w:val="0"/>
        <w:spacing w:line="360" w:lineRule="auto"/>
        <w:ind w:firstLine="602" w:firstLineChars="200"/>
        <w:jc w:val="both"/>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着力建设生态文化宣教阵地。</w:t>
      </w:r>
      <w:r>
        <w:rPr>
          <w:rFonts w:hint="eastAsia" w:ascii="仿宋_GB2312" w:hAnsi="仿宋_GB2312" w:eastAsia="仿宋_GB2312" w:cs="仿宋_GB2312"/>
          <w:b w:val="0"/>
          <w:bCs w:val="0"/>
          <w:sz w:val="30"/>
          <w:szCs w:val="30"/>
          <w:highlight w:val="none"/>
          <w:lang w:val="en-US" w:eastAsia="zh-CN"/>
        </w:rPr>
        <w:t>五常市</w:t>
      </w:r>
      <w:r>
        <w:rPr>
          <w:rFonts w:hint="eastAsia" w:ascii="仿宋_GB2312" w:hAnsi="仿宋_GB2312" w:eastAsia="仿宋_GB2312" w:cs="仿宋_GB2312"/>
          <w:sz w:val="30"/>
          <w:szCs w:val="30"/>
          <w:highlight w:val="none"/>
          <w:lang w:val="en-US" w:eastAsia="zh-CN"/>
        </w:rPr>
        <w:t>重视宣传教育工作，近年来完善宣传平台建设，充分利用公益广告、报刊、微信、微博等现代媒体手段，加大宣传教育力度；聚焦生态环保水、大气、土壤污染治理工作特色、亮点，积极宣传五常市生态环境治理成果，依托五常市电视台、五常市公众号（五常发布）官微等媒体宣传，加强宣传阵地的管理，完善各类公众号、抖音号等平台，讲好五常市生态环保大文章。开展宣传活动进机关、进社区、进企业、进学校等系列行动，提升环境保护公众参与度，采用“理论+文艺”宣讲方式，激励传承京旗文化、金源文化、满族文化、朝鲜族文化以及红色文化，为生态文明建设营造良好舆论氛围。</w:t>
      </w:r>
    </w:p>
    <w:p w14:paraId="42142F8A">
      <w:pPr>
        <w:keepNext w:val="0"/>
        <w:keepLines w:val="0"/>
        <w:pageBreakBefore w:val="0"/>
        <w:widowControl/>
        <w:suppressLineNumbers w:val="0"/>
        <w:wordWrap/>
        <w:overflowPunct/>
        <w:topLinePunct w:val="0"/>
        <w:bidi w:val="0"/>
        <w:spacing w:line="360" w:lineRule="auto"/>
        <w:ind w:firstLine="602" w:firstLineChars="200"/>
        <w:jc w:val="both"/>
        <w:rPr>
          <w:rFonts w:hint="eastAsia" w:ascii="仿宋_GB2312" w:hAnsi="仿宋_GB2312" w:eastAsia="仿宋_GB2312" w:cs="仿宋_GB2312"/>
          <w:sz w:val="30"/>
          <w:szCs w:val="30"/>
          <w:highlight w:val="none"/>
          <w:lang w:val="en-US" w:eastAsia="en-US"/>
        </w:rPr>
      </w:pPr>
      <w:r>
        <w:rPr>
          <w:rFonts w:hint="eastAsia" w:ascii="仿宋_GB2312" w:hAnsi="仿宋_GB2312" w:eastAsia="仿宋_GB2312" w:cs="仿宋_GB2312"/>
          <w:b/>
          <w:bCs/>
          <w:color w:val="auto"/>
          <w:sz w:val="30"/>
          <w:szCs w:val="30"/>
          <w:highlight w:val="none"/>
          <w:lang w:val="en-US" w:eastAsia="zh-CN"/>
        </w:rPr>
        <w:t>党政干部生态文明意识持续提升。</w:t>
      </w:r>
      <w:r>
        <w:rPr>
          <w:rFonts w:hint="eastAsia" w:ascii="仿宋_GB2312" w:hAnsi="仿宋_GB2312" w:eastAsia="仿宋_GB2312" w:cs="仿宋_GB2312"/>
          <w:b w:val="0"/>
          <w:bCs w:val="0"/>
          <w:color w:val="auto"/>
          <w:sz w:val="30"/>
          <w:szCs w:val="30"/>
          <w:highlight w:val="none"/>
          <w:lang w:val="en-US" w:eastAsia="zh-CN"/>
        </w:rPr>
        <w:t>五常市</w:t>
      </w:r>
      <w:r>
        <w:rPr>
          <w:rFonts w:hint="eastAsia" w:ascii="仿宋_GB2312" w:hAnsi="仿宋_GB2312" w:eastAsia="仿宋_GB2312" w:cs="仿宋_GB2312"/>
          <w:sz w:val="30"/>
          <w:szCs w:val="30"/>
          <w:highlight w:val="none"/>
          <w:lang w:val="en-US" w:eastAsia="zh-CN"/>
        </w:rPr>
        <w:t>高度重视党政领导干部生态文明意识提升，加强党建业务融合，将生态环境保护和生态文明建设纳入市委市政府理论学习</w:t>
      </w:r>
      <w:bookmarkStart w:id="139" w:name="_GoBack"/>
      <w:bookmarkEnd w:id="139"/>
      <w:r>
        <w:rPr>
          <w:rFonts w:hint="eastAsia" w:ascii="仿宋_GB2312" w:hAnsi="仿宋_GB2312" w:eastAsia="仿宋_GB2312" w:cs="仿宋_GB2312"/>
          <w:sz w:val="30"/>
          <w:szCs w:val="30"/>
          <w:highlight w:val="none"/>
          <w:lang w:val="en-US" w:eastAsia="zh-CN"/>
        </w:rPr>
        <w:t>中心组学习内容，将生态文明相关内容纳入每年干部培训教育计划，不断创新学习教育方式和渠道，积极倡导各部门、各单位统筹整合各类教育活动中心、活动室等培训场所资源，定期分析研判干部队伍意识形态的总体情况，对意识形态领域各种错误思潮、模糊认识和不良现象敢于发声亮剑，通过组织开展主</w:t>
      </w:r>
      <w:r>
        <w:rPr>
          <w:rFonts w:hint="eastAsia" w:ascii="仿宋_GB2312" w:hAnsi="仿宋_GB2312" w:eastAsia="仿宋_GB2312" w:cs="仿宋_GB2312"/>
          <w:sz w:val="30"/>
          <w:szCs w:val="30"/>
          <w:highlight w:val="none"/>
          <w:lang w:val="en-US" w:eastAsia="en-US"/>
        </w:rPr>
        <w:t>题丰富多彩的党日活动，</w:t>
      </w:r>
      <w:r>
        <w:rPr>
          <w:rFonts w:hint="eastAsia" w:ascii="仿宋_GB2312" w:hAnsi="仿宋_GB2312" w:eastAsia="仿宋_GB2312" w:cs="仿宋_GB2312"/>
          <w:sz w:val="30"/>
          <w:szCs w:val="30"/>
          <w:highlight w:val="none"/>
          <w:lang w:val="en-US" w:eastAsia="zh-CN"/>
        </w:rPr>
        <w:t>探索订单式的培训方式，引导督促广大党员干部</w:t>
      </w:r>
      <w:r>
        <w:rPr>
          <w:rFonts w:hint="eastAsia" w:ascii="仿宋_GB2312" w:hAnsi="仿宋_GB2312" w:eastAsia="仿宋_GB2312" w:cs="仿宋_GB2312"/>
          <w:sz w:val="30"/>
          <w:szCs w:val="30"/>
          <w:highlight w:val="none"/>
          <w:lang w:val="en-US" w:eastAsia="en-US"/>
        </w:rPr>
        <w:t>学习习近平生态文明思想，有力提升了</w:t>
      </w:r>
      <w:r>
        <w:rPr>
          <w:rFonts w:hint="eastAsia" w:ascii="仿宋_GB2312" w:hAnsi="仿宋_GB2312" w:eastAsia="仿宋_GB2312" w:cs="仿宋_GB2312"/>
          <w:sz w:val="30"/>
          <w:szCs w:val="30"/>
          <w:highlight w:val="none"/>
          <w:lang w:val="en-US" w:eastAsia="zh-CN"/>
        </w:rPr>
        <w:t>五常市</w:t>
      </w:r>
      <w:r>
        <w:rPr>
          <w:rFonts w:hint="eastAsia" w:ascii="仿宋_GB2312" w:hAnsi="仿宋_GB2312" w:eastAsia="仿宋_GB2312" w:cs="仿宋_GB2312"/>
          <w:sz w:val="30"/>
          <w:szCs w:val="30"/>
          <w:highlight w:val="none"/>
          <w:lang w:val="en-US" w:eastAsia="en-US"/>
        </w:rPr>
        <w:t>各级党政领导干部的生态文明素养。</w:t>
      </w:r>
    </w:p>
    <w:p w14:paraId="1EC63EFD">
      <w:pPr>
        <w:keepNext w:val="0"/>
        <w:keepLines w:val="0"/>
        <w:pageBreakBefore w:val="0"/>
        <w:widowControl/>
        <w:suppressLineNumbers w:val="0"/>
        <w:wordWrap/>
        <w:overflowPunct/>
        <w:topLinePunct w:val="0"/>
        <w:bidi w:val="0"/>
        <w:spacing w:line="360" w:lineRule="auto"/>
        <w:ind w:firstLine="602" w:firstLineChars="200"/>
        <w:jc w:val="both"/>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生态文明建设全民参与不断增强。</w:t>
      </w:r>
      <w:r>
        <w:rPr>
          <w:rFonts w:hint="eastAsia" w:ascii="仿宋_GB2312" w:hAnsi="仿宋_GB2312" w:eastAsia="仿宋_GB2312" w:cs="仿宋_GB2312"/>
          <w:b w:val="0"/>
          <w:bCs w:val="0"/>
          <w:sz w:val="30"/>
          <w:szCs w:val="30"/>
          <w:highlight w:val="none"/>
          <w:lang w:val="en-US" w:eastAsia="zh-CN"/>
        </w:rPr>
        <w:t>全市</w:t>
      </w:r>
      <w:r>
        <w:rPr>
          <w:rFonts w:hint="eastAsia" w:ascii="仿宋_GB2312" w:hAnsi="仿宋_GB2312" w:eastAsia="仿宋_GB2312" w:cs="仿宋_GB2312"/>
          <w:sz w:val="30"/>
          <w:szCs w:val="30"/>
          <w:highlight w:val="none"/>
          <w:lang w:val="en-US" w:eastAsia="zh-CN"/>
        </w:rPr>
        <w:t>广泛开展“光盘行动”，鼓励宾馆、酒店、景区推行绿色旅游、绿色消费措施，严格限制一次性生活用品使用，引导人民群众主动践行绿色低碳发展和生活方式。</w:t>
      </w:r>
      <w:r>
        <w:rPr>
          <w:rFonts w:hint="eastAsia" w:ascii="仿宋_GB2312" w:hAnsi="仿宋_GB2312" w:eastAsia="仿宋_GB2312" w:cs="仿宋_GB2312"/>
          <w:sz w:val="30"/>
          <w:szCs w:val="30"/>
          <w:highlight w:val="none"/>
        </w:rPr>
        <w:t>扎实开展各类示范创建工程，提档升级生态文明建设，将生态理念植入社会“神经末梢”，为创建生态文明建设示范区夯实底层基础。畅通环境信访、环境保护热线、网络邮箱等信访投诉渠道，主动接受群众监督，为民办实事</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lang w:val="en-US" w:eastAsia="zh-CN"/>
        </w:rPr>
        <w:t>推动形成全民支持、参与深入生态文明建设的全社会行动格局。从生态环境质量、生态人居、生态文明意识等方面开展公众的满意度水平调查。调查结果显示，公众对五常市生态环境总体评价满意度达97.45%。</w:t>
      </w:r>
    </w:p>
    <w:p w14:paraId="37EA7493">
      <w:pPr>
        <w:pStyle w:val="3"/>
        <w:keepNext w:val="0"/>
        <w:keepLines w:val="0"/>
        <w:pageBreakBefore w:val="0"/>
        <w:widowControl w:val="0"/>
        <w:numPr>
          <w:ilvl w:val="0"/>
          <w:numId w:val="2"/>
        </w:numPr>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20" w:name="_Toc7443"/>
      <w:bookmarkStart w:id="21" w:name="_Toc10553"/>
      <w:r>
        <w:rPr>
          <w:rFonts w:hint="eastAsia" w:ascii="方正楷体_GB2312" w:hAnsi="方正楷体_GB2312" w:eastAsia="方正楷体_GB2312" w:cs="方正楷体_GB2312"/>
          <w:b/>
          <w:bCs/>
          <w:snapToGrid/>
          <w:kern w:val="2"/>
          <w:szCs w:val="24"/>
          <w:highlight w:val="none"/>
          <w:lang w:eastAsia="zh-CN"/>
        </w:rPr>
        <w:t>存在问题与机遇挑战</w:t>
      </w:r>
      <w:bookmarkEnd w:id="20"/>
      <w:bookmarkEnd w:id="21"/>
    </w:p>
    <w:p w14:paraId="668C4208">
      <w:pPr>
        <w:pStyle w:val="4"/>
        <w:keepNext w:val="0"/>
        <w:keepLines w:val="0"/>
        <w:pageBreakBefore w:val="0"/>
        <w:widowControl w:val="0"/>
        <w:numPr>
          <w:ilvl w:val="0"/>
          <w:numId w:val="3"/>
        </w:numPr>
        <w:kinsoku/>
        <w:wordWrap/>
        <w:overflowPunct/>
        <w:topLinePunct w:val="0"/>
        <w:autoSpaceDE/>
        <w:autoSpaceDN/>
        <w:bidi w:val="0"/>
        <w:adjustRightInd/>
        <w:snapToGrid/>
        <w:ind w:left="425" w:hanging="425"/>
        <w:jc w:val="both"/>
        <w:textAlignment w:val="auto"/>
        <w:rPr>
          <w:rFonts w:hint="eastAsia" w:ascii="仿宋_GB2312" w:hAnsi="仿宋_GB2312" w:eastAsia="仿宋_GB2312" w:cs="仿宋_GB2312"/>
          <w:snapToGrid/>
          <w:kern w:val="2"/>
          <w:sz w:val="30"/>
          <w:szCs w:val="30"/>
          <w:highlight w:val="none"/>
          <w:lang w:val="en-US" w:eastAsia="zh-CN"/>
        </w:rPr>
      </w:pPr>
      <w:bookmarkStart w:id="22" w:name="_Toc25831"/>
      <w:bookmarkStart w:id="23" w:name="_Toc6132"/>
      <w:bookmarkStart w:id="24" w:name="_Toc14266"/>
      <w:r>
        <w:rPr>
          <w:rFonts w:hint="eastAsia" w:ascii="仿宋_GB2312" w:hAnsi="仿宋_GB2312" w:eastAsia="仿宋_GB2312" w:cs="仿宋_GB2312"/>
          <w:snapToGrid/>
          <w:kern w:val="2"/>
          <w:sz w:val="30"/>
          <w:szCs w:val="30"/>
          <w:highlight w:val="none"/>
          <w:lang w:val="en-US" w:eastAsia="zh-CN"/>
        </w:rPr>
        <w:t>优势条件</w:t>
      </w:r>
      <w:bookmarkEnd w:id="22"/>
      <w:bookmarkEnd w:id="23"/>
    </w:p>
    <w:p w14:paraId="7879F2E2">
      <w:pPr>
        <w:keepNext w:val="0"/>
        <w:keepLines w:val="0"/>
        <w:widowControl/>
        <w:suppressLineNumbers w:val="0"/>
        <w:spacing w:line="360" w:lineRule="auto"/>
        <w:ind w:firstLine="602" w:firstLineChars="200"/>
        <w:jc w:val="both"/>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color w:val="auto"/>
          <w:sz w:val="30"/>
          <w:szCs w:val="30"/>
          <w:lang w:eastAsia="zh-CN"/>
        </w:rPr>
        <w:t>自然资源</w:t>
      </w:r>
      <w:r>
        <w:rPr>
          <w:rFonts w:hint="eastAsia" w:ascii="仿宋_GB2312" w:hAnsi="仿宋_GB2312" w:eastAsia="仿宋_GB2312" w:cs="仿宋_GB2312"/>
          <w:b/>
          <w:color w:val="auto"/>
          <w:sz w:val="30"/>
          <w:szCs w:val="30"/>
          <w:lang w:val="en-US" w:eastAsia="zh-CN"/>
        </w:rPr>
        <w:t>种类数量</w:t>
      </w:r>
      <w:r>
        <w:rPr>
          <w:rFonts w:hint="eastAsia" w:ascii="仿宋_GB2312" w:hAnsi="仿宋_GB2312" w:eastAsia="仿宋_GB2312" w:cs="仿宋_GB2312"/>
          <w:b/>
          <w:color w:val="auto"/>
          <w:sz w:val="30"/>
          <w:szCs w:val="30"/>
          <w:lang w:eastAsia="zh-CN"/>
        </w:rPr>
        <w:t>丰富。</w:t>
      </w:r>
      <w:r>
        <w:rPr>
          <w:rFonts w:hint="eastAsia" w:ascii="仿宋_GB2312" w:hAnsi="仿宋_GB2312" w:eastAsia="仿宋_GB2312" w:cs="仿宋_GB2312"/>
          <w:b w:val="0"/>
          <w:bCs w:val="0"/>
          <w:sz w:val="30"/>
          <w:szCs w:val="30"/>
          <w:lang w:val="en-US" w:eastAsia="zh-CN"/>
        </w:rPr>
        <w:t>五常市自然资源丰富多样，主要包括水资源、农业资源、森林资源和矿产资源等，为当地经济社会的可持续发展奠定了坚实基础。</w:t>
      </w:r>
      <w:r>
        <w:rPr>
          <w:rFonts w:hint="eastAsia" w:ascii="仿宋_GB2312" w:hAnsi="仿宋_GB2312" w:eastAsia="仿宋_GB2312" w:cs="仿宋_GB2312"/>
          <w:b/>
          <w:bCs/>
          <w:sz w:val="30"/>
          <w:szCs w:val="30"/>
          <w:lang w:val="en-US" w:eastAsia="zh-CN"/>
        </w:rPr>
        <w:t>一是水资源是最重要的自然资源之一。</w:t>
      </w:r>
      <w:r>
        <w:rPr>
          <w:rFonts w:hint="eastAsia" w:ascii="仿宋_GB2312" w:hAnsi="仿宋_GB2312" w:eastAsia="仿宋_GB2312" w:cs="仿宋_GB2312"/>
          <w:b w:val="0"/>
          <w:bCs w:val="0"/>
          <w:sz w:val="30"/>
          <w:szCs w:val="30"/>
          <w:lang w:val="en-US" w:eastAsia="zh-CN"/>
        </w:rPr>
        <w:t>五常市地处松嫩平原，拥有丰富的水系和湖泊资源，如五常河、五大连池等，为中国“大米之乡”的农业生产、生活用水、工业发展提供重要保障。</w:t>
      </w:r>
      <w:r>
        <w:rPr>
          <w:rFonts w:hint="eastAsia" w:ascii="仿宋_GB2312" w:hAnsi="仿宋_GB2312" w:eastAsia="仿宋_GB2312" w:cs="仿宋_GB2312"/>
          <w:b/>
          <w:bCs/>
          <w:sz w:val="30"/>
          <w:szCs w:val="30"/>
          <w:lang w:val="en-US" w:eastAsia="zh-CN"/>
        </w:rPr>
        <w:t>二是农业资源是五常市支柱产业之一。</w:t>
      </w:r>
      <w:r>
        <w:rPr>
          <w:rFonts w:hint="eastAsia" w:ascii="仿宋_GB2312" w:hAnsi="仿宋_GB2312" w:eastAsia="仿宋_GB2312" w:cs="仿宋_GB2312"/>
          <w:b w:val="0"/>
          <w:bCs w:val="0"/>
          <w:sz w:val="30"/>
          <w:szCs w:val="30"/>
          <w:lang w:val="en-US" w:eastAsia="zh-CN"/>
        </w:rPr>
        <w:t>五常市气候适宜，土地肥沃，适合种植大豆、玉米、水稻等作物，同时也是大豆主要产区之一。农业资源为五常市提供丰富的粮食和农副产品，助力当地经济发展。</w:t>
      </w:r>
      <w:r>
        <w:rPr>
          <w:rFonts w:hint="eastAsia" w:ascii="仿宋_GB2312" w:hAnsi="仿宋_GB2312" w:eastAsia="仿宋_GB2312" w:cs="仿宋_GB2312"/>
          <w:b/>
          <w:bCs/>
          <w:sz w:val="30"/>
          <w:szCs w:val="30"/>
          <w:lang w:val="en-US" w:eastAsia="zh-CN"/>
        </w:rPr>
        <w:t>三是森林资源丰富。</w:t>
      </w:r>
      <w:r>
        <w:rPr>
          <w:rFonts w:hint="eastAsia" w:ascii="仿宋_GB2312" w:hAnsi="仿宋_GB2312" w:eastAsia="仿宋_GB2312" w:cs="仿宋_GB2312"/>
          <w:b w:val="0"/>
          <w:bCs w:val="0"/>
          <w:sz w:val="30"/>
          <w:szCs w:val="30"/>
          <w:lang w:val="en-US" w:eastAsia="zh-CN"/>
        </w:rPr>
        <w:t>五常市境内分布着大片森林资源，为生态环境保护和木材加工提供重要支撑。森林资源的合理利用促进经济绿色发展和生物多样性保护。</w:t>
      </w:r>
      <w:r>
        <w:rPr>
          <w:rFonts w:hint="eastAsia" w:ascii="仿宋_GB2312" w:hAnsi="仿宋_GB2312" w:eastAsia="仿宋_GB2312" w:cs="仿宋_GB2312"/>
          <w:b/>
          <w:bCs/>
          <w:sz w:val="30"/>
          <w:szCs w:val="30"/>
          <w:lang w:val="en-US" w:eastAsia="zh-CN"/>
        </w:rPr>
        <w:t>四是矿产资源方面。</w:t>
      </w:r>
      <w:r>
        <w:rPr>
          <w:rFonts w:hint="eastAsia" w:ascii="仿宋_GB2312" w:hAnsi="仿宋_GB2312" w:eastAsia="仿宋_GB2312" w:cs="仿宋_GB2312"/>
          <w:b w:val="0"/>
          <w:bCs w:val="0"/>
          <w:sz w:val="30"/>
          <w:szCs w:val="30"/>
          <w:lang w:val="en-US" w:eastAsia="zh-CN"/>
        </w:rPr>
        <w:t>五常市也有着一定的储备，主要包括煤炭、铁矿石等。矿产资源的开采和利用，为当地工业发展和经济增长提供重要动力。</w:t>
      </w:r>
    </w:p>
    <w:p w14:paraId="3865E79E">
      <w:pPr>
        <w:keepNext w:val="0"/>
        <w:keepLines w:val="0"/>
        <w:pageBreakBefore w:val="0"/>
        <w:widowControl/>
        <w:kinsoku/>
        <w:wordWrap/>
        <w:overflowPunct/>
        <w:topLinePunct w:val="0"/>
        <w:autoSpaceDE w:val="0"/>
        <w:autoSpaceDN w:val="0"/>
        <w:bidi w:val="0"/>
        <w:adjustRightInd w:val="0"/>
        <w:snapToGrid w:val="0"/>
        <w:spacing w:line="360" w:lineRule="auto"/>
        <w:ind w:firstLine="602" w:firstLineChars="200"/>
        <w:jc w:val="both"/>
        <w:textAlignment w:val="baseline"/>
        <w:rPr>
          <w:rFonts w:hint="eastAsia" w:ascii="仿宋_GB2312" w:hAnsi="仿宋_GB2312" w:eastAsia="仿宋_GB2312" w:cs="仿宋_GB2312"/>
          <w:color w:val="auto"/>
          <w:sz w:val="30"/>
          <w:szCs w:val="30"/>
        </w:rPr>
      </w:pPr>
      <w:r>
        <w:rPr>
          <w:rFonts w:hint="eastAsia" w:ascii="仿宋_GB2312" w:hAnsi="仿宋_GB2312" w:eastAsia="仿宋_GB2312" w:cs="仿宋_GB2312"/>
          <w:b/>
          <w:color w:val="auto"/>
          <w:sz w:val="30"/>
          <w:szCs w:val="30"/>
          <w:lang w:val="en-US" w:eastAsia="zh-CN"/>
        </w:rPr>
        <w:t>生态环境保护工作实现</w:t>
      </w:r>
      <w:r>
        <w:rPr>
          <w:rFonts w:hint="eastAsia" w:ascii="仿宋_GB2312" w:hAnsi="仿宋_GB2312" w:eastAsia="仿宋_GB2312" w:cs="仿宋_GB2312"/>
          <w:b/>
          <w:color w:val="auto"/>
          <w:sz w:val="30"/>
          <w:szCs w:val="30"/>
        </w:rPr>
        <w:t>新进步</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b/>
          <w:color w:val="auto"/>
          <w:sz w:val="30"/>
          <w:szCs w:val="30"/>
          <w:lang w:val="en-US" w:eastAsia="zh-CN"/>
        </w:rPr>
        <w:t>一是</w:t>
      </w:r>
      <w:r>
        <w:rPr>
          <w:rFonts w:hint="eastAsia" w:ascii="仿宋_GB2312" w:hAnsi="仿宋_GB2312" w:eastAsia="仿宋_GB2312" w:cs="仿宋_GB2312"/>
          <w:b/>
          <w:color w:val="auto"/>
          <w:sz w:val="30"/>
          <w:szCs w:val="30"/>
        </w:rPr>
        <w:t>生态环境保护统筹协调力度加强。</w:t>
      </w:r>
      <w:r>
        <w:rPr>
          <w:rFonts w:hint="eastAsia" w:ascii="仿宋_GB2312" w:hAnsi="仿宋_GB2312" w:eastAsia="仿宋_GB2312" w:cs="仿宋_GB2312"/>
          <w:b w:val="0"/>
          <w:bCs/>
          <w:color w:val="auto"/>
          <w:sz w:val="30"/>
          <w:szCs w:val="30"/>
          <w:lang w:val="en-US" w:eastAsia="zh-CN"/>
        </w:rPr>
        <w:t>创新</w:t>
      </w:r>
      <w:r>
        <w:rPr>
          <w:rFonts w:hint="eastAsia" w:ascii="仿宋_GB2312" w:hAnsi="仿宋_GB2312" w:eastAsia="仿宋_GB2312" w:cs="仿宋_GB2312"/>
          <w:b w:val="0"/>
          <w:bCs w:val="0"/>
          <w:sz w:val="30"/>
          <w:szCs w:val="30"/>
          <w:lang w:val="en-US" w:eastAsia="zh-CN"/>
        </w:rPr>
        <w:t>成立五常市综合服务中心，构建生态文明建设统筹协调机制，不断完善定期会商、联动执法、联合检查、重点案件联合督察和信息共享等制度。</w:t>
      </w:r>
      <w:r>
        <w:rPr>
          <w:rFonts w:hint="eastAsia" w:ascii="仿宋_GB2312" w:hAnsi="仿宋_GB2312" w:eastAsia="仿宋_GB2312" w:cs="仿宋_GB2312"/>
          <w:b/>
          <w:bCs/>
          <w:sz w:val="30"/>
          <w:szCs w:val="30"/>
          <w:lang w:val="en-US" w:eastAsia="zh-CN"/>
        </w:rPr>
        <w:t>二是生态环境保护成效显著。</w:t>
      </w:r>
      <w:r>
        <w:rPr>
          <w:rFonts w:hint="eastAsia" w:ascii="仿宋_GB2312" w:hAnsi="仿宋_GB2312" w:eastAsia="仿宋_GB2312" w:cs="仿宋_GB2312"/>
          <w:color w:val="auto"/>
          <w:sz w:val="30"/>
          <w:szCs w:val="30"/>
        </w:rPr>
        <w:t>主要河流水质稳定达到III类</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b w:val="0"/>
          <w:bCs w:val="0"/>
          <w:sz w:val="30"/>
          <w:szCs w:val="30"/>
          <w:lang w:val="en-US" w:eastAsia="zh-CN"/>
        </w:rPr>
        <w:t>生态环境质量持续改善，</w:t>
      </w:r>
      <w:r>
        <w:rPr>
          <w:rFonts w:hint="eastAsia" w:ascii="仿宋_GB2312" w:hAnsi="仿宋_GB2312" w:eastAsia="仿宋_GB2312" w:cs="仿宋_GB2312"/>
          <w:color w:val="auto"/>
          <w:sz w:val="30"/>
          <w:szCs w:val="30"/>
        </w:rPr>
        <w:t>组织实施土地综合治理、森林修复及生物多样性保护、天池湖泊综合整治</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矿山环境恢复治理等项目，</w:t>
      </w:r>
      <w:r>
        <w:rPr>
          <w:rFonts w:hint="eastAsia" w:ascii="仿宋_GB2312" w:hAnsi="仿宋_GB2312" w:eastAsia="仿宋_GB2312" w:cs="仿宋_GB2312"/>
          <w:b w:val="0"/>
          <w:bCs w:val="0"/>
          <w:sz w:val="30"/>
          <w:szCs w:val="30"/>
          <w:lang w:val="en-US" w:eastAsia="zh-CN"/>
        </w:rPr>
        <w:t>生态系统多样性稳定性持续性稳步提升。</w:t>
      </w:r>
      <w:r>
        <w:rPr>
          <w:rFonts w:hint="eastAsia" w:ascii="仿宋_GB2312" w:hAnsi="仿宋_GB2312" w:eastAsia="仿宋_GB2312" w:cs="仿宋_GB2312"/>
          <w:b/>
          <w:bCs/>
          <w:sz w:val="30"/>
          <w:szCs w:val="30"/>
          <w:lang w:val="en-US" w:eastAsia="zh-CN"/>
        </w:rPr>
        <w:t>三是</w:t>
      </w:r>
      <w:r>
        <w:rPr>
          <w:rFonts w:hint="eastAsia" w:ascii="仿宋_GB2312" w:hAnsi="仿宋_GB2312" w:eastAsia="仿宋_GB2312" w:cs="仿宋_GB2312"/>
          <w:b/>
          <w:bCs/>
          <w:color w:val="auto"/>
          <w:sz w:val="30"/>
          <w:szCs w:val="30"/>
        </w:rPr>
        <w:t>生态环境风险得到有效管控。</w:t>
      </w:r>
      <w:r>
        <w:rPr>
          <w:rFonts w:hint="eastAsia" w:ascii="仿宋_GB2312" w:hAnsi="仿宋_GB2312" w:eastAsia="仿宋_GB2312" w:cs="仿宋_GB2312"/>
          <w:color w:val="auto"/>
          <w:sz w:val="30"/>
          <w:szCs w:val="30"/>
        </w:rPr>
        <w:t>生态安全屏障更加牢固，山水林田湖生态保护与修复工程取得明显成效，生态质量级别保持良好</w:t>
      </w:r>
      <w:r>
        <w:rPr>
          <w:rFonts w:hint="eastAsia" w:ascii="仿宋_GB2312" w:hAnsi="仿宋_GB2312" w:eastAsia="仿宋_GB2312" w:cs="仿宋_GB2312"/>
          <w:color w:val="auto"/>
          <w:sz w:val="30"/>
          <w:szCs w:val="30"/>
          <w:lang w:val="en-US" w:eastAsia="zh-CN"/>
        </w:rPr>
        <w:t>水平</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b w:val="0"/>
          <w:bCs w:val="0"/>
          <w:sz w:val="30"/>
          <w:szCs w:val="30"/>
          <w:lang w:val="en-US" w:eastAsia="zh-CN"/>
        </w:rPr>
        <w:t>进入新发展阶段，五常市在贯彻落实党中央关于加强生态文明建设的决策部署过程中，必将进一步推动生态环境保护工作再上新台阶。</w:t>
      </w:r>
    </w:p>
    <w:p w14:paraId="611181A8">
      <w:pPr>
        <w:keepNext w:val="0"/>
        <w:keepLines w:val="0"/>
        <w:pageBreakBefore w:val="0"/>
        <w:widowControl/>
        <w:kinsoku/>
        <w:wordWrap/>
        <w:overflowPunct/>
        <w:topLinePunct w:val="0"/>
        <w:autoSpaceDE w:val="0"/>
        <w:autoSpaceDN w:val="0"/>
        <w:bidi w:val="0"/>
        <w:adjustRightInd w:val="0"/>
        <w:snapToGrid w:val="0"/>
        <w:spacing w:line="360" w:lineRule="auto"/>
        <w:ind w:firstLine="602" w:firstLineChars="200"/>
        <w:jc w:val="both"/>
        <w:textAlignment w:val="baseline"/>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b/>
          <w:color w:val="auto"/>
          <w:sz w:val="30"/>
          <w:szCs w:val="30"/>
        </w:rPr>
        <w:t>经济</w:t>
      </w:r>
      <w:r>
        <w:rPr>
          <w:rFonts w:hint="eastAsia" w:ascii="仿宋_GB2312" w:hAnsi="仿宋_GB2312" w:eastAsia="仿宋_GB2312" w:cs="仿宋_GB2312"/>
          <w:b/>
          <w:color w:val="auto"/>
          <w:sz w:val="30"/>
          <w:szCs w:val="30"/>
          <w:lang w:val="en-US" w:eastAsia="zh-CN"/>
        </w:rPr>
        <w:t>社会</w:t>
      </w:r>
      <w:r>
        <w:rPr>
          <w:rFonts w:hint="eastAsia" w:ascii="仿宋_GB2312" w:hAnsi="仿宋_GB2312" w:eastAsia="仿宋_GB2312" w:cs="仿宋_GB2312"/>
          <w:b/>
          <w:color w:val="auto"/>
          <w:sz w:val="30"/>
          <w:szCs w:val="30"/>
        </w:rPr>
        <w:t>发展长期向好态势日趋稳固</w:t>
      </w:r>
      <w:r>
        <w:rPr>
          <w:rFonts w:hint="eastAsia" w:ascii="仿宋_GB2312" w:hAnsi="仿宋_GB2312" w:eastAsia="仿宋_GB2312" w:cs="仿宋_GB2312"/>
          <w:b/>
          <w:color w:val="auto"/>
          <w:sz w:val="30"/>
          <w:szCs w:val="30"/>
          <w:lang w:eastAsia="zh-CN"/>
        </w:rPr>
        <w:t>。</w:t>
      </w:r>
      <w:r>
        <w:rPr>
          <w:rFonts w:hint="eastAsia" w:ascii="仿宋_GB2312" w:hAnsi="仿宋_GB2312" w:eastAsia="仿宋_GB2312" w:cs="仿宋_GB2312"/>
          <w:b w:val="0"/>
          <w:bCs w:val="0"/>
          <w:color w:val="auto"/>
          <w:sz w:val="30"/>
          <w:szCs w:val="30"/>
        </w:rPr>
        <w:t>五常市道路交通“一纵、二横、三环、四联”的大格局基本形成，乡村道路为支线的四通八达的公路网建设完成。2020年入选县城新型城镇化建设示范名单</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lang w:val="en-US" w:eastAsia="zh-CN"/>
        </w:rPr>
        <w:t>实现</w:t>
      </w:r>
      <w:r>
        <w:rPr>
          <w:rFonts w:hint="eastAsia" w:ascii="仿宋_GB2312" w:hAnsi="仿宋_GB2312" w:eastAsia="仿宋_GB2312" w:cs="仿宋_GB2312"/>
          <w:b w:val="0"/>
          <w:bCs w:val="0"/>
          <w:color w:val="auto"/>
          <w:sz w:val="30"/>
          <w:szCs w:val="30"/>
        </w:rPr>
        <w:t>城乡建设新跨越</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lang w:val="en-US" w:eastAsia="zh-CN"/>
        </w:rPr>
        <w:t>当前，</w:t>
      </w:r>
      <w:r>
        <w:rPr>
          <w:rFonts w:hint="eastAsia" w:ascii="仿宋_GB2312" w:hAnsi="仿宋_GB2312" w:eastAsia="仿宋_GB2312" w:cs="仿宋_GB2312"/>
          <w:color w:val="auto"/>
          <w:sz w:val="30"/>
          <w:szCs w:val="30"/>
        </w:rPr>
        <w:t>五常市充分利用县城新型城镇化建设示范的发展机遇，加快实施以促进人的城镇化为核心、提高质量为导向的新型城镇化战略，提高农业转移人口市民化质量，增强中心城市和城市群综合承载、资源优化配置能力，推进以县城为重要载体的新型城镇化建设，提升城市治理水平，推进城乡融合发展，实现国家新型城镇化规划圆满收官。</w:t>
      </w:r>
    </w:p>
    <w:p w14:paraId="6FD0BC78">
      <w:pPr>
        <w:pStyle w:val="4"/>
        <w:keepNext w:val="0"/>
        <w:keepLines w:val="0"/>
        <w:pageBreakBefore w:val="0"/>
        <w:widowControl w:val="0"/>
        <w:numPr>
          <w:ilvl w:val="0"/>
          <w:numId w:val="3"/>
        </w:numPr>
        <w:kinsoku/>
        <w:wordWrap/>
        <w:overflowPunct/>
        <w:topLinePunct w:val="0"/>
        <w:autoSpaceDE/>
        <w:autoSpaceDN/>
        <w:bidi w:val="0"/>
        <w:adjustRightInd/>
        <w:snapToGrid/>
        <w:ind w:left="425" w:hanging="425"/>
        <w:jc w:val="both"/>
        <w:textAlignment w:val="auto"/>
        <w:rPr>
          <w:rFonts w:hint="eastAsia" w:ascii="仿宋_GB2312" w:hAnsi="仿宋_GB2312" w:eastAsia="仿宋_GB2312" w:cs="仿宋_GB2312"/>
          <w:snapToGrid/>
          <w:kern w:val="2"/>
          <w:sz w:val="30"/>
          <w:szCs w:val="30"/>
          <w:highlight w:val="none"/>
          <w:lang w:val="en-US" w:eastAsia="zh-CN"/>
        </w:rPr>
      </w:pPr>
      <w:bookmarkStart w:id="25" w:name="_Toc11836"/>
      <w:bookmarkStart w:id="26" w:name="_Toc18383"/>
      <w:r>
        <w:rPr>
          <w:rFonts w:hint="eastAsia" w:ascii="仿宋_GB2312" w:hAnsi="仿宋_GB2312" w:eastAsia="仿宋_GB2312" w:cs="仿宋_GB2312"/>
          <w:snapToGrid/>
          <w:kern w:val="2"/>
          <w:sz w:val="30"/>
          <w:szCs w:val="30"/>
          <w:highlight w:val="none"/>
          <w:lang w:val="en-US" w:eastAsia="zh-CN"/>
        </w:rPr>
        <w:t>存在短板</w:t>
      </w:r>
      <w:bookmarkEnd w:id="25"/>
      <w:bookmarkEnd w:id="26"/>
    </w:p>
    <w:p w14:paraId="00F52AD7">
      <w:pPr>
        <w:keepNext w:val="0"/>
        <w:keepLines w:val="0"/>
        <w:widowControl/>
        <w:suppressLineNumbers w:val="0"/>
        <w:spacing w:line="360" w:lineRule="auto"/>
        <w:ind w:firstLine="602" w:firstLineChars="200"/>
        <w:jc w:val="both"/>
        <w:rPr>
          <w:rFonts w:hint="eastAsia" w:ascii="仿宋_GB2312" w:hAnsi="仿宋_GB2312" w:eastAsia="仿宋_GB2312" w:cs="仿宋_GB2312"/>
          <w:color w:val="auto"/>
          <w:sz w:val="30"/>
          <w:szCs w:val="30"/>
        </w:rPr>
      </w:pPr>
      <w:r>
        <w:rPr>
          <w:rFonts w:hint="eastAsia" w:ascii="仿宋_GB2312" w:hAnsi="仿宋_GB2312" w:eastAsia="仿宋_GB2312" w:cs="仿宋_GB2312"/>
          <w:b/>
          <w:color w:val="auto"/>
          <w:sz w:val="30"/>
          <w:szCs w:val="30"/>
        </w:rPr>
        <w:t>生态环境治理有待深入推进</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b/>
          <w:bCs/>
          <w:color w:val="auto"/>
          <w:sz w:val="30"/>
          <w:szCs w:val="30"/>
          <w:lang w:val="en-US" w:eastAsia="zh-CN"/>
        </w:rPr>
        <w:t>一是大气污染治理区域联防联控压力较大。</w:t>
      </w:r>
      <w:r>
        <w:rPr>
          <w:rFonts w:hint="eastAsia" w:ascii="仿宋_GB2312" w:hAnsi="仿宋_GB2312" w:eastAsia="仿宋_GB2312" w:cs="仿宋_GB2312"/>
          <w:color w:val="auto"/>
          <w:sz w:val="30"/>
          <w:szCs w:val="30"/>
          <w:lang w:val="en-US" w:eastAsia="zh-CN"/>
        </w:rPr>
        <w:t>受吉林省周边县区大面积露天焚烧秸秆根茬及残余物影响，加上秋、冬季气压较低不利于扩散，2023年五常市在哈尔滨地区空气质量排名从第一名下滑到第五名，污染天数增加。</w:t>
      </w:r>
      <w:r>
        <w:rPr>
          <w:rFonts w:hint="eastAsia" w:ascii="仿宋_GB2312" w:hAnsi="仿宋_GB2312" w:eastAsia="仿宋_GB2312" w:cs="仿宋_GB2312"/>
          <w:b/>
          <w:bCs/>
          <w:color w:val="auto"/>
          <w:sz w:val="30"/>
          <w:szCs w:val="30"/>
          <w:lang w:val="en-US" w:eastAsia="zh-CN"/>
        </w:rPr>
        <w:t>二是突出环境问题整改仍需发力。</w:t>
      </w:r>
      <w:r>
        <w:rPr>
          <w:rFonts w:hint="eastAsia" w:ascii="仿宋_GB2312" w:hAnsi="仿宋_GB2312" w:eastAsia="仿宋_GB2312" w:cs="仿宋_GB2312"/>
          <w:color w:val="auto"/>
          <w:sz w:val="30"/>
          <w:szCs w:val="30"/>
          <w:lang w:val="en-US" w:eastAsia="zh-CN"/>
        </w:rPr>
        <w:t>2023年溪浪河东进村国控断面虽达到</w:t>
      </w:r>
      <w:r>
        <w:rPr>
          <w:rFonts w:hint="eastAsia" w:ascii="仿宋_GB2312" w:hAnsi="仿宋_GB2312" w:eastAsia="仿宋_GB2312" w:cs="仿宋_GB2312"/>
          <w:sz w:val="30"/>
          <w:szCs w:val="30"/>
          <w:lang w:val="en-US" w:eastAsia="zh-CN"/>
        </w:rPr>
        <w:t>Ⅲ类</w:t>
      </w:r>
      <w:r>
        <w:rPr>
          <w:rFonts w:hint="eastAsia" w:ascii="仿宋_GB2312" w:hAnsi="仿宋_GB2312" w:eastAsia="仿宋_GB2312" w:cs="仿宋_GB2312"/>
          <w:color w:val="auto"/>
          <w:sz w:val="30"/>
          <w:szCs w:val="30"/>
          <w:lang w:val="en-US" w:eastAsia="zh-CN"/>
        </w:rPr>
        <w:t>水质要求，但与2022年相比水质轻微变差，需排查问题并整改，中央环保督察要坚持长效整改，抓落实防反弹仍是重中之重。</w:t>
      </w:r>
      <w:r>
        <w:rPr>
          <w:rFonts w:hint="eastAsia" w:ascii="仿宋_GB2312" w:hAnsi="仿宋_GB2312" w:eastAsia="仿宋_GB2312" w:cs="仿宋_GB2312"/>
          <w:b/>
          <w:bCs/>
          <w:color w:val="auto"/>
          <w:sz w:val="30"/>
          <w:szCs w:val="30"/>
          <w:lang w:val="en-US" w:eastAsia="zh-CN"/>
        </w:rPr>
        <w:t>三是环保队伍力量仍需加强。</w:t>
      </w:r>
      <w:r>
        <w:rPr>
          <w:rFonts w:hint="eastAsia" w:ascii="仿宋_GB2312" w:hAnsi="仿宋_GB2312" w:eastAsia="仿宋_GB2312" w:cs="仿宋_GB2312"/>
          <w:color w:val="auto"/>
          <w:sz w:val="30"/>
          <w:szCs w:val="30"/>
          <w:lang w:val="en-US" w:eastAsia="zh-CN"/>
        </w:rPr>
        <w:t>生态环境局班子副职多年空缺，相对当前环保任务和工作压力，执法人员严重不足，由于职能没有实现向生态环境保护综合行政执法转变，严重束缚环境执法工作开展，现场执法力度不够，技术、交通、执法设备明显缺乏，给全域环境监管工作带来极大难度。生态环境垂改后职能职责没有厘清，新形势新要求下生态环境部门牵头承担属地生态环境保护工作压力巨大。</w:t>
      </w:r>
    </w:p>
    <w:p w14:paraId="0CA7F31C">
      <w:pPr>
        <w:keepNext w:val="0"/>
        <w:keepLines w:val="0"/>
        <w:widowControl/>
        <w:suppressLineNumbers w:val="0"/>
        <w:spacing w:line="360" w:lineRule="auto"/>
        <w:ind w:firstLine="602" w:firstLineChars="200"/>
        <w:jc w:val="both"/>
        <w:rPr>
          <w:rFonts w:hint="eastAsia" w:ascii="仿宋_GB2312" w:hAnsi="仿宋_GB2312" w:eastAsia="仿宋_GB2312" w:cs="仿宋_GB2312"/>
          <w:color w:val="000000"/>
          <w:kern w:val="2"/>
          <w:sz w:val="30"/>
          <w:szCs w:val="30"/>
          <w:lang w:val="en-US" w:eastAsia="zh-CN" w:bidi="ar"/>
        </w:rPr>
      </w:pPr>
      <w:r>
        <w:rPr>
          <w:rFonts w:hint="eastAsia" w:ascii="仿宋_GB2312" w:hAnsi="仿宋_GB2312" w:eastAsia="仿宋_GB2312" w:cs="仿宋_GB2312"/>
          <w:b/>
          <w:bCs/>
          <w:color w:val="000000"/>
          <w:kern w:val="2"/>
          <w:sz w:val="30"/>
          <w:szCs w:val="30"/>
          <w:lang w:val="en-US" w:eastAsia="zh-CN" w:bidi="ar"/>
        </w:rPr>
        <w:t>生态保护修复仍面临巨大压力。一是生态功能区的质量和功能有待提升。</w:t>
      </w:r>
      <w:r>
        <w:rPr>
          <w:rFonts w:hint="eastAsia" w:ascii="仿宋_GB2312" w:hAnsi="仿宋_GB2312" w:eastAsia="仿宋_GB2312" w:cs="仿宋_GB2312"/>
          <w:b w:val="0"/>
          <w:bCs w:val="0"/>
          <w:color w:val="000000"/>
          <w:kern w:val="2"/>
          <w:sz w:val="30"/>
          <w:szCs w:val="30"/>
          <w:lang w:val="en-US" w:eastAsia="zh-CN" w:bidi="ar"/>
        </w:rPr>
        <w:t>受建设用地扩张和人类活动影响，部分自然生态系统存在受损、退化或破坏现象，生态用地呈现破碎化趋势，生态系统的质量和功能有待进一步提升，布局有待进一步优化。</w:t>
      </w:r>
      <w:r>
        <w:rPr>
          <w:rFonts w:hint="eastAsia" w:ascii="仿宋_GB2312" w:hAnsi="仿宋_GB2312" w:eastAsia="仿宋_GB2312" w:cs="仿宋_GB2312"/>
          <w:color w:val="000000"/>
          <w:kern w:val="2"/>
          <w:sz w:val="30"/>
          <w:szCs w:val="30"/>
          <w:lang w:val="en-US" w:eastAsia="zh-CN" w:bidi="ar"/>
        </w:rPr>
        <w:t>一些修复工程仍存在项目化、碎片化的问题，影响生态功能区修复的整体效益。</w:t>
      </w:r>
      <w:r>
        <w:rPr>
          <w:rFonts w:hint="eastAsia" w:ascii="仿宋_GB2312" w:hAnsi="仿宋_GB2312" w:eastAsia="仿宋_GB2312" w:cs="仿宋_GB2312"/>
          <w:b/>
          <w:bCs/>
          <w:color w:val="000000"/>
          <w:kern w:val="2"/>
          <w:sz w:val="30"/>
          <w:szCs w:val="30"/>
          <w:lang w:val="en-US" w:eastAsia="zh-CN" w:bidi="ar"/>
        </w:rPr>
        <w:t>二是各类自然资源要素专项规划和法律制度统筹不足。</w:t>
      </w:r>
      <w:r>
        <w:rPr>
          <w:rFonts w:hint="eastAsia" w:ascii="仿宋_GB2312" w:hAnsi="仿宋_GB2312" w:eastAsia="仿宋_GB2312" w:cs="仿宋_GB2312"/>
          <w:color w:val="000000"/>
          <w:kern w:val="2"/>
          <w:sz w:val="30"/>
          <w:szCs w:val="30"/>
          <w:lang w:val="en-US" w:eastAsia="zh-CN" w:bidi="ar"/>
        </w:rPr>
        <w:t>山水林田湖草系统治理机制还需进一步完善。五常市现有历史遗留矿山总数为171座，其中无责任主体历史遗留矿山124座，有责任主体历史遗留矿山47座，矿山修复工作有待持续推进。</w:t>
      </w:r>
      <w:r>
        <w:rPr>
          <w:rFonts w:hint="eastAsia" w:ascii="仿宋_GB2312" w:hAnsi="仿宋_GB2312" w:eastAsia="仿宋_GB2312" w:cs="仿宋_GB2312"/>
          <w:b/>
          <w:bCs/>
          <w:color w:val="000000"/>
          <w:kern w:val="2"/>
          <w:sz w:val="30"/>
          <w:szCs w:val="30"/>
          <w:lang w:val="en-US" w:eastAsia="zh-CN" w:bidi="ar"/>
        </w:rPr>
        <w:t>三是农林矛盾较为突出。</w:t>
      </w:r>
      <w:r>
        <w:rPr>
          <w:rFonts w:hint="eastAsia" w:ascii="仿宋_GB2312" w:hAnsi="仿宋_GB2312" w:eastAsia="仿宋_GB2312" w:cs="仿宋_GB2312"/>
          <w:color w:val="000000"/>
          <w:kern w:val="2"/>
          <w:sz w:val="30"/>
          <w:szCs w:val="30"/>
          <w:lang w:val="en-US" w:eastAsia="zh-CN" w:bidi="ar"/>
        </w:rPr>
        <w:t>土地纠纷化解难度较大，影响耕地保护开展。耕地保护和退耕还林还草还湿矛盾较为突出。耕地后备资源不足，随着经济发展对用地需求，耕地占补平衡压力不断加大。设施农业用地的需求，给耕地和黑土地保护工作带来较大压力。</w:t>
      </w:r>
    </w:p>
    <w:p w14:paraId="35ECB9C6">
      <w:pPr>
        <w:keepNext w:val="0"/>
        <w:keepLines w:val="0"/>
        <w:widowControl/>
        <w:suppressLineNumbers w:val="0"/>
        <w:spacing w:line="360" w:lineRule="auto"/>
        <w:ind w:firstLine="602" w:firstLineChars="200"/>
        <w:jc w:val="both"/>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b/>
          <w:color w:val="auto"/>
          <w:sz w:val="30"/>
          <w:szCs w:val="30"/>
        </w:rPr>
        <w:t>环境基础设施建设仍有短板</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b/>
          <w:bCs/>
          <w:color w:val="auto"/>
          <w:sz w:val="30"/>
          <w:szCs w:val="30"/>
          <w:lang w:val="en-US" w:eastAsia="zh-CN"/>
        </w:rPr>
        <w:t>一是环境基础设施建设欠账较多。</w:t>
      </w:r>
      <w:r>
        <w:rPr>
          <w:rFonts w:hint="eastAsia" w:ascii="仿宋_GB2312" w:hAnsi="仿宋_GB2312" w:eastAsia="仿宋_GB2312" w:cs="仿宋_GB2312"/>
          <w:color w:val="auto"/>
          <w:sz w:val="30"/>
          <w:szCs w:val="30"/>
        </w:rPr>
        <w:t>由于</w:t>
      </w:r>
      <w:r>
        <w:rPr>
          <w:rFonts w:hint="eastAsia" w:ascii="仿宋_GB2312" w:hAnsi="仿宋_GB2312" w:eastAsia="仿宋_GB2312" w:cs="仿宋_GB2312"/>
          <w:color w:val="auto"/>
          <w:sz w:val="30"/>
          <w:szCs w:val="30"/>
          <w:lang w:eastAsia="zh-CN"/>
        </w:rPr>
        <w:t>环境基础设施建设</w:t>
      </w:r>
      <w:r>
        <w:rPr>
          <w:rFonts w:hint="eastAsia" w:ascii="仿宋_GB2312" w:hAnsi="仿宋_GB2312" w:eastAsia="仿宋_GB2312" w:cs="仿宋_GB2312"/>
          <w:color w:val="auto"/>
          <w:sz w:val="30"/>
          <w:szCs w:val="30"/>
        </w:rPr>
        <w:t>资金投入长期不足</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乡镇环境基础设施建设滞后。</w:t>
      </w:r>
      <w:r>
        <w:rPr>
          <w:rFonts w:hint="eastAsia" w:ascii="仿宋_GB2312" w:hAnsi="仿宋_GB2312" w:eastAsia="仿宋_GB2312" w:cs="仿宋_GB2312"/>
          <w:color w:val="auto"/>
          <w:sz w:val="30"/>
          <w:szCs w:val="30"/>
        </w:rPr>
        <w:t>部分乡镇污水管网不配套，个别老旧污水管网改造进度滞后，雨污分流不彻底</w:t>
      </w:r>
      <w:r>
        <w:rPr>
          <w:rFonts w:hint="eastAsia" w:ascii="仿宋_GB2312" w:hAnsi="仿宋_GB2312" w:eastAsia="仿宋_GB2312" w:cs="仿宋_GB2312"/>
          <w:color w:val="auto"/>
          <w:sz w:val="30"/>
          <w:szCs w:val="30"/>
          <w:lang w:val="zh-CN"/>
        </w:rPr>
        <w:t>，污水收集不完全</w:t>
      </w:r>
      <w:r>
        <w:rPr>
          <w:rFonts w:hint="eastAsia" w:ascii="仿宋_GB2312" w:hAnsi="仿宋_GB2312" w:eastAsia="仿宋_GB2312" w:cs="仿宋_GB2312"/>
          <w:color w:val="auto"/>
          <w:sz w:val="30"/>
          <w:szCs w:val="30"/>
        </w:rPr>
        <w:t>；农村生活污水设施建设因场地选址、处理工艺、建设资金等因素影响，建设任务繁重且区域分布不平衡。</w:t>
      </w:r>
      <w:r>
        <w:rPr>
          <w:rFonts w:hint="eastAsia" w:ascii="仿宋_GB2312" w:hAnsi="仿宋_GB2312" w:eastAsia="仿宋_GB2312" w:cs="仿宋_GB2312"/>
          <w:b/>
          <w:bCs/>
          <w:color w:val="auto"/>
          <w:sz w:val="30"/>
          <w:szCs w:val="30"/>
          <w:highlight w:val="none"/>
          <w:lang w:val="en-US" w:eastAsia="zh-CN"/>
        </w:rPr>
        <w:t>二是</w:t>
      </w:r>
      <w:r>
        <w:rPr>
          <w:rFonts w:hint="eastAsia" w:ascii="Times New Roman" w:hAnsi="Times New Roman" w:eastAsia="仿宋_GB2312" w:cs="Times New Roman"/>
          <w:b/>
          <w:bCs/>
          <w:snapToGrid/>
          <w:color w:val="auto"/>
          <w:kern w:val="2"/>
          <w:sz w:val="30"/>
          <w:szCs w:val="30"/>
          <w:highlight w:val="none"/>
          <w:lang w:val="en-US" w:eastAsia="zh-CN" w:bidi="ar-SA"/>
        </w:rPr>
        <w:t>部分基础设施完善程度较低。</w:t>
      </w:r>
      <w:r>
        <w:rPr>
          <w:rFonts w:hint="eastAsia" w:ascii="Times New Roman" w:hAnsi="Times New Roman" w:eastAsia="仿宋_GB2312" w:cs="Times New Roman"/>
          <w:b w:val="0"/>
          <w:bCs w:val="0"/>
          <w:snapToGrid/>
          <w:color w:val="auto"/>
          <w:kern w:val="2"/>
          <w:sz w:val="30"/>
          <w:szCs w:val="30"/>
          <w:highlight w:val="none"/>
          <w:lang w:val="en-US" w:eastAsia="zh-CN" w:bidi="ar-SA"/>
        </w:rPr>
        <w:t>城乡</w:t>
      </w:r>
      <w:r>
        <w:rPr>
          <w:rFonts w:hint="eastAsia" w:ascii="仿宋_GB2312" w:hAnsi="仿宋_GB2312" w:eastAsia="仿宋_GB2312" w:cs="仿宋_GB2312"/>
          <w:color w:val="auto"/>
          <w:sz w:val="30"/>
          <w:szCs w:val="30"/>
          <w:highlight w:val="none"/>
        </w:rPr>
        <w:t>专</w:t>
      </w:r>
      <w:r>
        <w:rPr>
          <w:rFonts w:hint="eastAsia" w:ascii="仿宋_GB2312" w:hAnsi="仿宋_GB2312" w:eastAsia="仿宋_GB2312" w:cs="仿宋_GB2312"/>
          <w:color w:val="auto"/>
          <w:sz w:val="30"/>
          <w:szCs w:val="30"/>
        </w:rPr>
        <w:t>用垃圾转运车辆不足，收运体系</w:t>
      </w:r>
      <w:r>
        <w:rPr>
          <w:rFonts w:hint="eastAsia" w:ascii="仿宋_GB2312" w:hAnsi="仿宋_GB2312" w:eastAsia="仿宋_GB2312" w:cs="仿宋_GB2312"/>
          <w:color w:val="auto"/>
          <w:sz w:val="30"/>
          <w:szCs w:val="30"/>
          <w:lang w:val="en-US" w:eastAsia="zh-CN"/>
        </w:rPr>
        <w:t>未</w:t>
      </w:r>
      <w:r>
        <w:rPr>
          <w:rFonts w:hint="eastAsia" w:ascii="仿宋_GB2312" w:hAnsi="仿宋_GB2312" w:eastAsia="仿宋_GB2312" w:cs="仿宋_GB2312"/>
          <w:color w:val="auto"/>
          <w:sz w:val="30"/>
          <w:szCs w:val="30"/>
        </w:rPr>
        <w:t>完全实现封闭化；垃圾收集设施（垃圾池、垃圾房、垃圾桶）破损老化情况严重，亟需新（改）建；中转站运营效果较差，存在渗滤液渗漏、恶臭逸散等现象，且春节等节日期间返乡人员增多，生活垃圾产生量骤升，垃圾转运压力增大。生活垃圾分类设施建设相对滞后，较分散且距</w:t>
      </w:r>
      <w:r>
        <w:rPr>
          <w:rFonts w:hint="eastAsia" w:ascii="仿宋_GB2312" w:hAnsi="仿宋_GB2312" w:eastAsia="仿宋_GB2312" w:cs="仿宋_GB2312"/>
          <w:color w:val="auto"/>
          <w:sz w:val="30"/>
          <w:szCs w:val="30"/>
          <w:lang w:val="en-US" w:eastAsia="zh-CN"/>
        </w:rPr>
        <w:t>中心城区</w:t>
      </w:r>
      <w:r>
        <w:rPr>
          <w:rFonts w:hint="eastAsia" w:ascii="仿宋_GB2312" w:hAnsi="仿宋_GB2312" w:eastAsia="仿宋_GB2312" w:cs="仿宋_GB2312"/>
          <w:color w:val="auto"/>
          <w:sz w:val="30"/>
          <w:szCs w:val="30"/>
        </w:rPr>
        <w:t>较远</w:t>
      </w:r>
      <w:r>
        <w:rPr>
          <w:rFonts w:hint="eastAsia" w:ascii="仿宋_GB2312" w:hAnsi="仿宋_GB2312" w:eastAsia="仿宋_GB2312" w:cs="仿宋_GB2312"/>
          <w:color w:val="auto"/>
          <w:sz w:val="30"/>
          <w:szCs w:val="30"/>
          <w:lang w:val="en-US" w:eastAsia="zh-CN"/>
        </w:rPr>
        <w:t>的乡镇</w:t>
      </w:r>
      <w:r>
        <w:rPr>
          <w:rFonts w:hint="eastAsia" w:ascii="仿宋_GB2312" w:hAnsi="仿宋_GB2312" w:eastAsia="仿宋_GB2312" w:cs="仿宋_GB2312"/>
          <w:color w:val="auto"/>
          <w:sz w:val="30"/>
          <w:szCs w:val="30"/>
        </w:rPr>
        <w:t>，导致生活垃圾清运不够及时。</w:t>
      </w:r>
      <w:r>
        <w:rPr>
          <w:rFonts w:hint="eastAsia" w:ascii="仿宋_GB2312" w:hAnsi="仿宋_GB2312" w:eastAsia="仿宋_GB2312" w:cs="仿宋_GB2312"/>
          <w:i w:val="0"/>
          <w:iCs w:val="0"/>
          <w:caps w:val="0"/>
          <w:color w:val="auto"/>
          <w:spacing w:val="0"/>
          <w:sz w:val="30"/>
          <w:szCs w:val="30"/>
          <w:highlight w:val="none"/>
          <w:u w:val="none"/>
          <w:shd w:val="clear" w:fill="FFFFFF"/>
        </w:rPr>
        <w:t>基础设施和公共服务不完善，社会治理能力和治理体系相对滞后</w:t>
      </w:r>
      <w:r>
        <w:rPr>
          <w:rFonts w:hint="eastAsia" w:ascii="仿宋_GB2312" w:hAnsi="仿宋_GB2312" w:eastAsia="仿宋_GB2312" w:cs="仿宋_GB2312"/>
          <w:i w:val="0"/>
          <w:iCs w:val="0"/>
          <w:caps w:val="0"/>
          <w:color w:val="auto"/>
          <w:spacing w:val="0"/>
          <w:sz w:val="30"/>
          <w:szCs w:val="30"/>
          <w:highlight w:val="none"/>
          <w:u w:val="none"/>
          <w:shd w:val="clear" w:fill="FFFFFF"/>
          <w:lang w:eastAsia="zh-CN"/>
        </w:rPr>
        <w:t>。</w:t>
      </w:r>
    </w:p>
    <w:p w14:paraId="06755847">
      <w:pPr>
        <w:keepNext w:val="0"/>
        <w:keepLines w:val="0"/>
        <w:pageBreakBefore w:val="0"/>
        <w:widowControl/>
        <w:kinsoku/>
        <w:wordWrap/>
        <w:overflowPunct/>
        <w:topLinePunct w:val="0"/>
        <w:autoSpaceDE/>
        <w:autoSpaceDN/>
        <w:bidi w:val="0"/>
        <w:adjustRightInd/>
        <w:snapToGrid/>
        <w:spacing w:line="360" w:lineRule="auto"/>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color w:val="auto"/>
          <w:sz w:val="30"/>
          <w:szCs w:val="30"/>
        </w:rPr>
        <w:t>资源</w:t>
      </w:r>
      <w:r>
        <w:rPr>
          <w:rFonts w:hint="eastAsia" w:ascii="仿宋_GB2312" w:hAnsi="仿宋_GB2312" w:eastAsia="仿宋_GB2312" w:cs="仿宋_GB2312"/>
          <w:b/>
          <w:bCs/>
          <w:color w:val="auto"/>
          <w:sz w:val="30"/>
          <w:szCs w:val="30"/>
          <w:lang w:eastAsia="zh-CN"/>
        </w:rPr>
        <w:t>、</w:t>
      </w:r>
      <w:r>
        <w:rPr>
          <w:rFonts w:hint="eastAsia" w:ascii="仿宋_GB2312" w:hAnsi="仿宋_GB2312" w:eastAsia="仿宋_GB2312" w:cs="仿宋_GB2312"/>
          <w:b/>
          <w:bCs/>
          <w:color w:val="auto"/>
          <w:sz w:val="30"/>
          <w:szCs w:val="30"/>
          <w:lang w:val="en-US" w:eastAsia="zh-CN"/>
        </w:rPr>
        <w:t>空间</w:t>
      </w:r>
      <w:r>
        <w:rPr>
          <w:rFonts w:hint="eastAsia" w:ascii="仿宋_GB2312" w:hAnsi="仿宋_GB2312" w:eastAsia="仿宋_GB2312" w:cs="仿宋_GB2312"/>
          <w:b/>
          <w:bCs/>
          <w:color w:val="auto"/>
          <w:sz w:val="30"/>
          <w:szCs w:val="30"/>
        </w:rPr>
        <w:t>利用效率较低。</w:t>
      </w:r>
      <w:r>
        <w:rPr>
          <w:rFonts w:hint="eastAsia" w:ascii="仿宋_GB2312" w:hAnsi="仿宋_GB2312" w:eastAsia="仿宋_GB2312" w:cs="仿宋_GB2312"/>
          <w:b/>
          <w:bCs/>
          <w:color w:val="auto"/>
          <w:sz w:val="30"/>
          <w:szCs w:val="30"/>
          <w:lang w:val="en-US" w:eastAsia="zh-CN"/>
        </w:rPr>
        <w:t>一是</w:t>
      </w:r>
      <w:r>
        <w:rPr>
          <w:rFonts w:hint="eastAsia" w:ascii="仿宋_GB2312" w:hAnsi="仿宋_GB2312" w:eastAsia="仿宋_GB2312" w:cs="仿宋_GB2312"/>
          <w:b/>
          <w:bCs/>
          <w:color w:val="auto"/>
          <w:sz w:val="30"/>
          <w:szCs w:val="30"/>
        </w:rPr>
        <w:t>城市可建设土地利用效率低</w:t>
      </w:r>
      <w:r>
        <w:rPr>
          <w:rFonts w:hint="eastAsia" w:ascii="仿宋_GB2312" w:hAnsi="仿宋_GB2312" w:eastAsia="仿宋_GB2312" w:cs="仿宋_GB2312"/>
          <w:b/>
          <w:bCs/>
          <w:color w:val="auto"/>
          <w:sz w:val="30"/>
          <w:szCs w:val="30"/>
          <w:lang w:eastAsia="zh-CN"/>
        </w:rPr>
        <w:t>。</w:t>
      </w:r>
      <w:r>
        <w:rPr>
          <w:rFonts w:hint="eastAsia" w:ascii="仿宋_GB2312" w:hAnsi="仿宋_GB2312" w:eastAsia="仿宋_GB2312" w:cs="仿宋_GB2312"/>
          <w:color w:val="auto"/>
          <w:sz w:val="30"/>
          <w:szCs w:val="30"/>
          <w:lang w:val="en-US" w:eastAsia="zh-CN"/>
        </w:rPr>
        <w:t>土地利用粗放，人均城乡建设用地指标高。</w:t>
      </w:r>
      <w:r>
        <w:rPr>
          <w:rFonts w:hint="eastAsia" w:ascii="仿宋_GB2312" w:hAnsi="仿宋_GB2312" w:eastAsia="仿宋_GB2312" w:cs="仿宋_GB2312"/>
          <w:color w:val="auto"/>
          <w:sz w:val="30"/>
          <w:szCs w:val="30"/>
        </w:rPr>
        <w:t>未建成工业项目平均计划投资强度3772万元/公顷，平均土地利用率63.9%，土地资源浪费严重，后续引进项目与工业用地的矛盾将日益加剧。</w:t>
      </w:r>
      <w:r>
        <w:rPr>
          <w:rFonts w:hint="eastAsia" w:ascii="仿宋_GB2312" w:hAnsi="仿宋_GB2312" w:eastAsia="仿宋_GB2312" w:cs="仿宋_GB2312"/>
          <w:b/>
          <w:bCs/>
          <w:color w:val="auto"/>
          <w:sz w:val="30"/>
          <w:szCs w:val="30"/>
          <w:lang w:val="en-US" w:eastAsia="zh-CN"/>
        </w:rPr>
        <w:t>二是自然</w:t>
      </w:r>
      <w:r>
        <w:rPr>
          <w:rFonts w:hint="eastAsia" w:ascii="仿宋_GB2312" w:hAnsi="仿宋_GB2312" w:eastAsia="仿宋_GB2312" w:cs="仿宋_GB2312"/>
          <w:b/>
          <w:bCs/>
          <w:color w:val="auto"/>
          <w:sz w:val="30"/>
          <w:szCs w:val="30"/>
        </w:rPr>
        <w:t>资源转化能力低</w:t>
      </w:r>
      <w:r>
        <w:rPr>
          <w:rFonts w:hint="eastAsia" w:ascii="仿宋_GB2312" w:hAnsi="仿宋_GB2312" w:eastAsia="仿宋_GB2312" w:cs="仿宋_GB2312"/>
          <w:b/>
          <w:bCs/>
          <w:color w:val="auto"/>
          <w:sz w:val="30"/>
          <w:szCs w:val="30"/>
          <w:lang w:eastAsia="zh-CN"/>
        </w:rPr>
        <w:t>。</w:t>
      </w:r>
      <w:r>
        <w:rPr>
          <w:rFonts w:hint="eastAsia" w:ascii="仿宋_GB2312" w:hAnsi="仿宋_GB2312" w:eastAsia="仿宋_GB2312" w:cs="仿宋_GB2312"/>
          <w:color w:val="auto"/>
          <w:sz w:val="30"/>
          <w:szCs w:val="30"/>
        </w:rPr>
        <w:t>五常具有丰富的农、林、畜牧资源，但资源转化效率仍处于较低水平，食品工业绝大部分是脱皮去壳的粗加工，产品结构单一、产业链条不完整、产业规模小和效益不高。受产品开发能力薄弱、品牌培育进程缓慢、产业融资渠道较少、产业化经营水平不高等问题制约，仍处于以农产品为主的初级产品生产阶段。</w:t>
      </w:r>
      <w:r>
        <w:rPr>
          <w:rFonts w:hint="eastAsia" w:ascii="仿宋_GB2312" w:hAnsi="仿宋_GB2312" w:eastAsia="仿宋_GB2312" w:cs="仿宋_GB2312"/>
          <w:b/>
          <w:bCs/>
          <w:color w:val="auto"/>
          <w:sz w:val="30"/>
          <w:szCs w:val="30"/>
          <w:lang w:val="en-US" w:eastAsia="zh-CN"/>
        </w:rPr>
        <w:t>三是</w:t>
      </w:r>
      <w:r>
        <w:rPr>
          <w:rFonts w:hint="eastAsia" w:ascii="仿宋_GB2312" w:hAnsi="仿宋_GB2312" w:eastAsia="仿宋_GB2312" w:cs="仿宋_GB2312"/>
          <w:b/>
          <w:bCs/>
          <w:snapToGrid/>
          <w:kern w:val="2"/>
          <w:sz w:val="30"/>
          <w:szCs w:val="30"/>
          <w:lang w:val="en-US" w:eastAsia="zh-CN"/>
        </w:rPr>
        <w:t>耕地减少、农业灌溉用水供需存在矛盾。</w:t>
      </w:r>
      <w:r>
        <w:rPr>
          <w:rFonts w:hint="eastAsia" w:ascii="仿宋_GB2312" w:hAnsi="仿宋_GB2312" w:eastAsia="仿宋_GB2312" w:cs="仿宋_GB2312"/>
          <w:b w:val="0"/>
          <w:bCs w:val="0"/>
          <w:snapToGrid/>
          <w:kern w:val="2"/>
          <w:sz w:val="30"/>
          <w:szCs w:val="30"/>
          <w:lang w:val="en-US" w:eastAsia="zh-CN"/>
        </w:rPr>
        <w:t>耕地后备资源不足，耕地占补平衡压力不断加大。农田灌溉用水量还未达到有效控制，</w:t>
      </w:r>
      <w:r>
        <w:rPr>
          <w:rFonts w:hint="eastAsia" w:ascii="仿宋_GB2312" w:hAnsi="仿宋_GB2312" w:eastAsia="仿宋_GB2312" w:cs="仿宋_GB2312"/>
          <w:snapToGrid/>
          <w:kern w:val="2"/>
          <w:sz w:val="30"/>
          <w:szCs w:val="30"/>
          <w:lang w:val="en-US" w:eastAsia="zh-CN"/>
        </w:rPr>
        <w:t>水资源节约集约利用存在主要集中在农田灌溉用水，农业用水方式粗放，农民节水意识不强，而且水费难以维持农田水利设施的正常运行，对建成的农田水利工程维护也造成影响。</w:t>
      </w:r>
      <w:r>
        <w:rPr>
          <w:rFonts w:hint="eastAsia" w:ascii="仿宋_GB2312" w:hAnsi="仿宋_GB2312" w:eastAsia="仿宋_GB2312" w:cs="仿宋_GB2312"/>
          <w:b/>
          <w:bCs/>
          <w:snapToGrid/>
          <w:kern w:val="2"/>
          <w:sz w:val="30"/>
          <w:szCs w:val="30"/>
          <w:lang w:val="en-US" w:eastAsia="zh-CN"/>
        </w:rPr>
        <w:t>四是</w:t>
      </w:r>
      <w:r>
        <w:rPr>
          <w:rFonts w:hint="eastAsia" w:ascii="仿宋_GB2312" w:hAnsi="仿宋_GB2312" w:eastAsia="仿宋_GB2312" w:cs="仿宋_GB2312"/>
          <w:b/>
          <w:bCs/>
          <w:i w:val="0"/>
          <w:iCs w:val="0"/>
          <w:caps w:val="0"/>
          <w:color w:val="auto"/>
          <w:spacing w:val="0"/>
          <w:sz w:val="30"/>
          <w:szCs w:val="30"/>
          <w:highlight w:val="none"/>
          <w:u w:val="none"/>
          <w:shd w:val="clear" w:fill="FFFFFF"/>
          <w:lang w:val="en-US" w:eastAsia="zh-CN"/>
        </w:rPr>
        <w:t>城镇空间结构有待优化。</w:t>
      </w:r>
      <w:r>
        <w:rPr>
          <w:rFonts w:hint="eastAsia" w:ascii="仿宋_GB2312" w:hAnsi="仿宋_GB2312" w:eastAsia="仿宋_GB2312" w:cs="仿宋_GB2312"/>
          <w:snapToGrid/>
          <w:kern w:val="2"/>
          <w:sz w:val="30"/>
          <w:szCs w:val="30"/>
          <w:lang w:val="en-US" w:eastAsia="zh-CN"/>
        </w:rPr>
        <w:t>中心城区辐射带动能级较低，城镇化率有待提高，重点城镇发展水平与要求差距较大。交通枢纽格局尚未形成，与资源利用匹配度较低，区域联动方面缺乏高等级交通连通，中心城区道路交通体系不完善。</w:t>
      </w:r>
    </w:p>
    <w:p w14:paraId="1DBE0C10">
      <w:pPr>
        <w:keepNext w:val="0"/>
        <w:keepLines w:val="0"/>
        <w:pageBreakBefore w:val="0"/>
        <w:widowControl/>
        <w:kinsoku/>
        <w:wordWrap/>
        <w:overflowPunct/>
        <w:topLinePunct w:val="0"/>
        <w:autoSpaceDE/>
        <w:autoSpaceDN/>
        <w:bidi w:val="0"/>
        <w:adjustRightInd/>
        <w:snapToGrid/>
        <w:spacing w:line="360" w:lineRule="auto"/>
        <w:ind w:left="0" w:leftChars="0" w:firstLine="602" w:firstLineChars="200"/>
        <w:jc w:val="both"/>
        <w:textAlignment w:val="auto"/>
        <w:rPr>
          <w:rFonts w:hint="eastAsia" w:ascii="仿宋_GB2312" w:hAnsi="仿宋_GB2312" w:eastAsia="仿宋_GB2312" w:cs="仿宋_GB2312"/>
          <w:snapToGrid/>
          <w:kern w:val="2"/>
          <w:sz w:val="30"/>
          <w:szCs w:val="30"/>
          <w:highlight w:val="none"/>
          <w:lang w:val="en-US" w:eastAsia="zh-CN"/>
        </w:rPr>
      </w:pPr>
      <w:r>
        <w:rPr>
          <w:rFonts w:hint="eastAsia" w:ascii="仿宋_GB2312" w:hAnsi="仿宋_GB2312" w:eastAsia="仿宋_GB2312" w:cs="仿宋_GB2312"/>
          <w:b/>
          <w:color w:val="auto"/>
          <w:sz w:val="30"/>
          <w:szCs w:val="30"/>
        </w:rPr>
        <w:t>生态经济发展水平还需提升</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b/>
          <w:bCs/>
          <w:color w:val="auto"/>
          <w:sz w:val="30"/>
          <w:szCs w:val="30"/>
          <w:lang w:val="en-US" w:eastAsia="zh-CN"/>
        </w:rPr>
        <w:t>一是</w:t>
      </w:r>
      <w:r>
        <w:rPr>
          <w:rFonts w:hint="eastAsia" w:ascii="仿宋_GB2312" w:hAnsi="仿宋_GB2312" w:eastAsia="仿宋_GB2312" w:cs="仿宋_GB2312"/>
          <w:b/>
          <w:bCs/>
          <w:color w:val="auto"/>
          <w:sz w:val="30"/>
          <w:szCs w:val="30"/>
        </w:rPr>
        <w:t>农业现代化发展进程较缓</w:t>
      </w:r>
      <w:r>
        <w:rPr>
          <w:rFonts w:hint="eastAsia" w:ascii="仿宋_GB2312" w:hAnsi="仿宋_GB2312" w:eastAsia="仿宋_GB2312" w:cs="仿宋_GB2312"/>
          <w:b/>
          <w:bCs/>
          <w:color w:val="auto"/>
          <w:sz w:val="30"/>
          <w:szCs w:val="30"/>
          <w:lang w:eastAsia="zh-CN"/>
        </w:rPr>
        <w:t>。</w:t>
      </w:r>
      <w:r>
        <w:rPr>
          <w:rFonts w:hint="eastAsia" w:ascii="仿宋_GB2312" w:hAnsi="仿宋_GB2312" w:eastAsia="仿宋_GB2312" w:cs="仿宋_GB2312"/>
          <w:color w:val="auto"/>
          <w:sz w:val="30"/>
          <w:szCs w:val="30"/>
        </w:rPr>
        <w:t>五常市农业产业化龙头企业带动能力不强。生产观念落后、经营规模小、经营主体分散等导致农田基础设施仍然薄弱、农业机械化程度仍处于较低状态，现代化大农业生产方式无法很好实现。</w:t>
      </w:r>
      <w:r>
        <w:rPr>
          <w:rFonts w:hint="eastAsia" w:ascii="仿宋_GB2312" w:hAnsi="仿宋_GB2312" w:eastAsia="仿宋_GB2312" w:cs="仿宋_GB2312"/>
          <w:b/>
          <w:bCs/>
          <w:color w:val="auto"/>
          <w:sz w:val="30"/>
          <w:szCs w:val="30"/>
          <w:lang w:val="en-US" w:eastAsia="zh-CN"/>
        </w:rPr>
        <w:t>二是</w:t>
      </w:r>
      <w:r>
        <w:rPr>
          <w:rFonts w:hint="eastAsia" w:ascii="仿宋_GB2312" w:hAnsi="仿宋_GB2312" w:eastAsia="仿宋_GB2312" w:cs="仿宋_GB2312"/>
          <w:b/>
          <w:bCs/>
          <w:color w:val="auto"/>
          <w:sz w:val="30"/>
          <w:szCs w:val="30"/>
        </w:rPr>
        <w:t>工业发展方式仍较粗放</w:t>
      </w:r>
      <w:r>
        <w:rPr>
          <w:rFonts w:hint="eastAsia" w:ascii="仿宋_GB2312" w:hAnsi="仿宋_GB2312" w:eastAsia="仿宋_GB2312" w:cs="仿宋_GB2312"/>
          <w:b/>
          <w:bCs/>
          <w:color w:val="auto"/>
          <w:sz w:val="30"/>
          <w:szCs w:val="30"/>
          <w:lang w:eastAsia="zh-CN"/>
        </w:rPr>
        <w:t>。</w:t>
      </w:r>
      <w:r>
        <w:rPr>
          <w:rFonts w:hint="eastAsia" w:ascii="仿宋_GB2312" w:hAnsi="仿宋_GB2312" w:eastAsia="仿宋_GB2312" w:cs="仿宋_GB2312"/>
          <w:color w:val="auto"/>
          <w:sz w:val="30"/>
          <w:szCs w:val="30"/>
        </w:rPr>
        <w:t>装备配套产业规模小且行业分散，食品工业特别是大米企业仍处于各自为战。在新兴产业和关键技术研发方面自主创新能力不强，产业转型升级技术瓶颈仍然突出，骨干企业科技研发活跃度低，本地创新创业氛围不活跃。</w:t>
      </w:r>
      <w:r>
        <w:rPr>
          <w:rFonts w:hint="eastAsia" w:ascii="仿宋_GB2312" w:hAnsi="仿宋_GB2312" w:eastAsia="仿宋_GB2312" w:cs="仿宋_GB2312"/>
          <w:snapToGrid/>
          <w:kern w:val="2"/>
          <w:sz w:val="30"/>
          <w:szCs w:val="30"/>
          <w:lang w:val="en-US" w:eastAsia="zh-CN"/>
        </w:rPr>
        <w:t>工业园区绿色低碳发展规划不足。</w:t>
      </w:r>
      <w:r>
        <w:rPr>
          <w:rFonts w:hint="eastAsia" w:ascii="仿宋_GB2312" w:hAnsi="仿宋_GB2312" w:eastAsia="仿宋_GB2312" w:cs="仿宋_GB2312"/>
          <w:b/>
          <w:bCs/>
          <w:color w:val="auto"/>
          <w:sz w:val="30"/>
          <w:szCs w:val="30"/>
          <w:highlight w:val="none"/>
          <w:lang w:val="en-US" w:eastAsia="zh-CN"/>
        </w:rPr>
        <w:t>三是产业结构仍需优化。</w:t>
      </w:r>
      <w:r>
        <w:rPr>
          <w:rFonts w:hint="eastAsia" w:ascii="仿宋_GB2312" w:hAnsi="仿宋_GB2312" w:eastAsia="仿宋_GB2312" w:cs="仿宋_GB2312"/>
          <w:i w:val="0"/>
          <w:iCs w:val="0"/>
          <w:caps w:val="0"/>
          <w:color w:val="auto"/>
          <w:spacing w:val="0"/>
          <w:sz w:val="30"/>
          <w:szCs w:val="30"/>
          <w:highlight w:val="none"/>
          <w:u w:val="none"/>
          <w:shd w:val="clear" w:fill="FFFFFF"/>
        </w:rPr>
        <w:t>支柱纳税型企业群体小，优势产业转化立市企业节奏缓慢，财税结构不优</w:t>
      </w:r>
      <w:r>
        <w:rPr>
          <w:rFonts w:hint="eastAsia" w:ascii="仿宋_GB2312" w:hAnsi="仿宋_GB2312" w:eastAsia="仿宋_GB2312" w:cs="仿宋_GB2312"/>
          <w:color w:val="auto"/>
          <w:sz w:val="30"/>
          <w:szCs w:val="30"/>
          <w:highlight w:val="none"/>
        </w:rPr>
        <w:t>，一二三产结构比重还难以支撑起市域经济高质量发展；</w:t>
      </w:r>
      <w:r>
        <w:rPr>
          <w:rFonts w:hint="eastAsia" w:ascii="仿宋_GB2312" w:hAnsi="仿宋_GB2312" w:eastAsia="仿宋_GB2312" w:cs="仿宋_GB2312"/>
          <w:i w:val="0"/>
          <w:iCs w:val="0"/>
          <w:caps w:val="0"/>
          <w:color w:val="auto"/>
          <w:spacing w:val="0"/>
          <w:sz w:val="30"/>
          <w:szCs w:val="30"/>
          <w:highlight w:val="none"/>
          <w:u w:val="none"/>
          <w:shd w:val="clear" w:fill="FFFFFF"/>
        </w:rPr>
        <w:t>招商引资氛围不浓，</w:t>
      </w:r>
      <w:r>
        <w:rPr>
          <w:rFonts w:hint="eastAsia" w:ascii="仿宋_GB2312" w:hAnsi="仿宋_GB2312" w:eastAsia="仿宋_GB2312" w:cs="仿宋_GB2312"/>
          <w:color w:val="auto"/>
          <w:sz w:val="30"/>
          <w:szCs w:val="30"/>
          <w:highlight w:val="none"/>
        </w:rPr>
        <w:t>招商项目规模小，</w:t>
      </w:r>
      <w:r>
        <w:rPr>
          <w:rFonts w:hint="eastAsia" w:ascii="仿宋_GB2312" w:hAnsi="仿宋_GB2312" w:eastAsia="仿宋_GB2312" w:cs="仿宋_GB2312"/>
          <w:i w:val="0"/>
          <w:iCs w:val="0"/>
          <w:caps w:val="0"/>
          <w:color w:val="auto"/>
          <w:spacing w:val="0"/>
          <w:sz w:val="30"/>
          <w:szCs w:val="30"/>
          <w:highlight w:val="none"/>
          <w:u w:val="none"/>
          <w:shd w:val="clear" w:fill="FFFFFF"/>
        </w:rPr>
        <w:t>发展内生动力不足</w:t>
      </w:r>
      <w:r>
        <w:rPr>
          <w:rFonts w:hint="eastAsia" w:ascii="仿宋_GB2312" w:hAnsi="仿宋_GB2312" w:eastAsia="仿宋_GB2312" w:cs="仿宋_GB2312"/>
          <w:i w:val="0"/>
          <w:iCs w:val="0"/>
          <w:caps w:val="0"/>
          <w:color w:val="auto"/>
          <w:spacing w:val="0"/>
          <w:sz w:val="30"/>
          <w:szCs w:val="30"/>
          <w:highlight w:val="none"/>
          <w:u w:val="none"/>
          <w:shd w:val="clear" w:fill="FFFFFF"/>
          <w:lang w:eastAsia="zh-CN"/>
        </w:rPr>
        <w:t>；</w:t>
      </w:r>
      <w:r>
        <w:rPr>
          <w:rFonts w:hint="eastAsia" w:ascii="仿宋_GB2312" w:hAnsi="仿宋_GB2312" w:eastAsia="仿宋_GB2312" w:cs="仿宋_GB2312"/>
          <w:b w:val="0"/>
          <w:bCs w:val="0"/>
          <w:color w:val="auto"/>
          <w:sz w:val="30"/>
          <w:szCs w:val="30"/>
        </w:rPr>
        <w:t>现代服务业发育不足</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sz w:val="30"/>
          <w:szCs w:val="30"/>
        </w:rPr>
        <w:t>重点</w:t>
      </w:r>
      <w:r>
        <w:rPr>
          <w:rFonts w:hint="eastAsia" w:ascii="仿宋_GB2312" w:hAnsi="仿宋_GB2312" w:eastAsia="仿宋_GB2312" w:cs="仿宋_GB2312"/>
          <w:color w:val="auto"/>
          <w:sz w:val="30"/>
          <w:szCs w:val="30"/>
        </w:rPr>
        <w:t>产业发展慢、规模小、大项目少。</w:t>
      </w:r>
    </w:p>
    <w:p w14:paraId="3FA3FB51">
      <w:pPr>
        <w:pStyle w:val="4"/>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27" w:name="_Toc8880"/>
      <w:r>
        <w:rPr>
          <w:rFonts w:hint="eastAsia" w:ascii="仿宋_GB2312" w:hAnsi="仿宋_GB2312" w:eastAsia="仿宋_GB2312" w:cs="仿宋_GB2312"/>
          <w:snapToGrid/>
          <w:kern w:val="2"/>
          <w:sz w:val="30"/>
          <w:szCs w:val="30"/>
          <w:highlight w:val="none"/>
          <w:lang w:val="en-US" w:eastAsia="zh-CN"/>
        </w:rPr>
        <w:t>建设机遇</w:t>
      </w:r>
      <w:bookmarkEnd w:id="24"/>
      <w:bookmarkEnd w:id="27"/>
    </w:p>
    <w:p w14:paraId="1C562750">
      <w:pPr>
        <w:snapToGrid w:val="0"/>
        <w:spacing w:line="360" w:lineRule="auto"/>
        <w:ind w:left="0" w:leftChars="0" w:firstLine="602" w:firstLineChars="200"/>
        <w:jc w:val="both"/>
        <w:outlineLvl w:val="9"/>
        <w:rPr>
          <w:rFonts w:hint="eastAsia" w:ascii="仿宋_GB2312" w:hAnsi="仿宋_GB2312" w:eastAsia="仿宋_GB2312" w:cs="仿宋_GB2312"/>
          <w:snapToGrid w:val="0"/>
          <w:color w:val="auto"/>
          <w:kern w:val="2"/>
          <w:sz w:val="30"/>
          <w:szCs w:val="30"/>
          <w:highlight w:val="none"/>
          <w:lang w:val="en-US" w:eastAsia="zh-CN" w:bidi="ar-SA"/>
        </w:rPr>
      </w:pPr>
      <w:r>
        <w:rPr>
          <w:rFonts w:hint="eastAsia" w:ascii="仿宋_GB2312" w:hAnsi="仿宋_GB2312" w:eastAsia="仿宋_GB2312" w:cs="仿宋_GB2312"/>
          <w:b/>
          <w:bCs/>
          <w:color w:val="auto"/>
          <w:kern w:val="2"/>
          <w:sz w:val="30"/>
          <w:szCs w:val="30"/>
          <w:highlight w:val="none"/>
          <w:lang w:val="en-US" w:eastAsia="zh-CN" w:bidi="ar-SA"/>
        </w:rPr>
        <w:t>国家重大战略的发展机遇。</w:t>
      </w:r>
      <w:r>
        <w:rPr>
          <w:rFonts w:hint="eastAsia" w:ascii="仿宋_GB2312" w:hAnsi="仿宋_GB2312" w:eastAsia="仿宋_GB2312" w:cs="仿宋_GB2312"/>
          <w:color w:val="auto"/>
          <w:kern w:val="2"/>
          <w:sz w:val="30"/>
          <w:szCs w:val="30"/>
          <w:highlight w:val="none"/>
          <w:lang w:val="en-US" w:eastAsia="zh-CN" w:bidi="ar-SA"/>
        </w:rPr>
        <w:t>推动东北振兴是党中央作出的重大战略决策。从国际形势看，进一步推动新时代东北全面振兴，对中国加强东北亚区域合作、构建以国内大循环为主体、国内国际双循环相互促进的发展格局具有重大战略意义。从国内发展现状看，东北全面振兴是中国式现代化的重要组成部分，为国家重大战略发展提供支撑作用。五常市作为东北振兴和经济发展战略支点，牢牢把握维护国家“五大安全”（国防安全、粮食安全、生态安全、能源安全、产业安全）的重要使命，新一轮东北振兴战略实施，为五常市主动融入国家和省发展战略大局，建设幸福美丽五常提供有力政策性保障。</w:t>
      </w:r>
      <w:r>
        <w:rPr>
          <w:rFonts w:hint="eastAsia" w:ascii="仿宋_GB2312" w:hAnsi="仿宋_GB2312" w:eastAsia="仿宋_GB2312" w:cs="仿宋_GB2312"/>
          <w:snapToGrid w:val="0"/>
          <w:color w:val="auto"/>
          <w:kern w:val="2"/>
          <w:sz w:val="30"/>
          <w:szCs w:val="30"/>
          <w:highlight w:val="none"/>
          <w:lang w:val="en-US" w:eastAsia="zh-CN" w:bidi="ar-SA"/>
        </w:rPr>
        <w:t>哈尔滨市被定位为唯一“对俄合作中心城市”“</w:t>
      </w:r>
      <w:r>
        <w:rPr>
          <w:rFonts w:hint="eastAsia" w:ascii="仿宋_GB2312" w:hAnsi="仿宋_GB2312" w:eastAsia="仿宋_GB2312" w:cs="仿宋_GB2312"/>
          <w:b w:val="0"/>
          <w:bCs w:val="0"/>
          <w:snapToGrid w:val="0"/>
          <w:color w:val="auto"/>
          <w:kern w:val="2"/>
          <w:sz w:val="30"/>
          <w:szCs w:val="30"/>
          <w:highlight w:val="none"/>
          <w:lang w:val="en-US" w:eastAsia="zh-CN" w:bidi="ar-SA"/>
        </w:rPr>
        <w:t>一带一路”倡议为五常市提供扩展机遇，</w:t>
      </w:r>
      <w:r>
        <w:rPr>
          <w:rFonts w:hint="eastAsia" w:ascii="仿宋_GB2312" w:hAnsi="仿宋_GB2312" w:eastAsia="仿宋_GB2312" w:cs="仿宋_GB2312"/>
          <w:snapToGrid w:val="0"/>
          <w:color w:val="auto"/>
          <w:kern w:val="2"/>
          <w:sz w:val="30"/>
          <w:szCs w:val="30"/>
          <w:highlight w:val="none"/>
          <w:lang w:val="en-US" w:eastAsia="zh-CN" w:bidi="ar-SA"/>
        </w:rPr>
        <w:t>有利于五常市以对俄开放为牵动，加快产业转型升级，促进全面开放、发展。</w:t>
      </w:r>
    </w:p>
    <w:p w14:paraId="087081B2">
      <w:pPr>
        <w:snapToGrid w:val="0"/>
        <w:spacing w:line="360" w:lineRule="auto"/>
        <w:ind w:left="0" w:leftChars="0" w:firstLine="602" w:firstLineChars="200"/>
        <w:jc w:val="both"/>
        <w:outlineLvl w:val="9"/>
        <w:rPr>
          <w:rFonts w:hint="eastAsia" w:ascii="仿宋_GB2312" w:hAnsi="仿宋_GB2312" w:eastAsia="仿宋_GB2312" w:cs="仿宋_GB2312"/>
          <w:snapToGrid w:val="0"/>
          <w:color w:val="auto"/>
          <w:kern w:val="2"/>
          <w:sz w:val="30"/>
          <w:szCs w:val="30"/>
          <w:highlight w:val="none"/>
          <w:lang w:val="en-US" w:eastAsia="zh-CN" w:bidi="ar-SA"/>
        </w:rPr>
      </w:pPr>
      <w:r>
        <w:rPr>
          <w:rFonts w:hint="eastAsia" w:ascii="仿宋_GB2312" w:hAnsi="仿宋_GB2312" w:eastAsia="仿宋_GB2312" w:cs="仿宋_GB2312"/>
          <w:b/>
          <w:bCs/>
          <w:color w:val="auto"/>
          <w:kern w:val="2"/>
          <w:sz w:val="30"/>
          <w:szCs w:val="30"/>
          <w:highlight w:val="none"/>
          <w:lang w:val="en-US" w:eastAsia="zh-CN" w:bidi="ar-SA"/>
        </w:rPr>
        <w:t>哈长城市群提供对外交流合作平台。</w:t>
      </w:r>
      <w:r>
        <w:rPr>
          <w:rFonts w:hint="eastAsia" w:ascii="仿宋_GB2312" w:hAnsi="仿宋_GB2312" w:eastAsia="仿宋_GB2312" w:cs="仿宋_GB2312"/>
          <w:snapToGrid w:val="0"/>
          <w:color w:val="auto"/>
          <w:kern w:val="2"/>
          <w:sz w:val="30"/>
          <w:szCs w:val="30"/>
          <w:highlight w:val="none"/>
          <w:lang w:val="en-US" w:eastAsia="zh-CN" w:bidi="ar-SA"/>
        </w:rPr>
        <w:t>五常市地处哈长城市群“南北延伸、中间相向”空间轴线上，向北作为吉林省对外的延伸，向南是哈尔滨对外的延伸</w:t>
      </w:r>
      <w:r>
        <w:rPr>
          <w:rFonts w:hint="eastAsia" w:ascii="仿宋_GB2312" w:hAnsi="仿宋_GB2312" w:eastAsia="仿宋_GB2312" w:cs="仿宋_GB2312"/>
          <w:color w:val="auto"/>
          <w:kern w:val="2"/>
          <w:sz w:val="30"/>
          <w:szCs w:val="30"/>
          <w:highlight w:val="none"/>
          <w:lang w:val="en-US" w:eastAsia="zh-CN" w:bidi="ar-SA"/>
        </w:rPr>
        <w:t>，</w:t>
      </w:r>
      <w:r>
        <w:rPr>
          <w:rFonts w:hint="eastAsia" w:ascii="仿宋_GB2312" w:hAnsi="仿宋_GB2312" w:eastAsia="仿宋_GB2312" w:cs="仿宋_GB2312"/>
          <w:snapToGrid w:val="0"/>
          <w:color w:val="auto"/>
          <w:kern w:val="2"/>
          <w:sz w:val="30"/>
          <w:szCs w:val="30"/>
          <w:highlight w:val="none"/>
          <w:lang w:val="en-US" w:eastAsia="zh-CN" w:bidi="ar-SA"/>
        </w:rPr>
        <w:t>为五常市提供对外交流和区域合作的重大机遇。“十四五”时期，五常市积极融入哈尔滨大都市圈和哈长城市群城镇体系建设，改革创新持续深化，对外开放水平进一步提升，发展成为哈长城市群的重要</w:t>
      </w:r>
      <w:r>
        <w:rPr>
          <w:rFonts w:hint="eastAsia" w:ascii="仿宋_GB2312" w:hAnsi="仿宋_GB2312" w:eastAsia="仿宋_GB2312" w:cs="仿宋_GB2312"/>
          <w:color w:val="auto"/>
          <w:kern w:val="2"/>
          <w:sz w:val="30"/>
          <w:szCs w:val="30"/>
          <w:highlight w:val="none"/>
          <w:lang w:val="en-US" w:eastAsia="zh-CN" w:bidi="ar-SA"/>
        </w:rPr>
        <w:t>区域节点</w:t>
      </w:r>
      <w:r>
        <w:rPr>
          <w:rFonts w:hint="eastAsia" w:ascii="仿宋_GB2312" w:hAnsi="仿宋_GB2312" w:eastAsia="仿宋_GB2312" w:cs="仿宋_GB2312"/>
          <w:snapToGrid w:val="0"/>
          <w:color w:val="auto"/>
          <w:kern w:val="2"/>
          <w:sz w:val="30"/>
          <w:szCs w:val="30"/>
          <w:highlight w:val="none"/>
          <w:lang w:val="en-US" w:eastAsia="zh-CN" w:bidi="ar-SA"/>
        </w:rPr>
        <w:t>城市。黑龙江省实施“六个强省”战略，聚焦农业、工业、科教、文化、生态、旅游，分别提出了主攻方向和支持措施。聚焦产业发展，全省启动实施“百千万工程”，进一步对重大项目、科技专项、企业培育、园区升级、产业集群建设等五个方面加大推进力度。哈尔滨市围绕构建现代产业体系，细化产业链条，优化布局产业功能区。省、市层面的发展政策为五常市主导产业发展，有效争取上级机遇支持，合力推动经济高质量发展创造了有利先决条件。</w:t>
      </w:r>
    </w:p>
    <w:p w14:paraId="0AD8FFA9">
      <w:pPr>
        <w:snapToGrid w:val="0"/>
        <w:spacing w:line="360" w:lineRule="auto"/>
        <w:ind w:left="0" w:leftChars="0" w:firstLine="602" w:firstLineChars="200"/>
        <w:jc w:val="both"/>
        <w:outlineLvl w:val="9"/>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b/>
          <w:bCs/>
          <w:color w:val="auto"/>
          <w:kern w:val="2"/>
          <w:sz w:val="30"/>
          <w:szCs w:val="30"/>
          <w:highlight w:val="none"/>
          <w:lang w:val="en-US" w:eastAsia="zh-CN" w:bidi="ar-SA"/>
        </w:rPr>
        <w:t>后冬奥时代助推冰雪经济发展。</w:t>
      </w:r>
      <w:r>
        <w:rPr>
          <w:rFonts w:hint="eastAsia" w:ascii="仿宋_GB2312" w:hAnsi="仿宋_GB2312" w:eastAsia="仿宋_GB2312" w:cs="仿宋_GB2312"/>
          <w:color w:val="auto"/>
          <w:kern w:val="2"/>
          <w:sz w:val="30"/>
          <w:szCs w:val="30"/>
          <w:highlight w:val="none"/>
          <w:lang w:val="en-US" w:eastAsia="zh-CN" w:bidi="ar-SA"/>
        </w:rPr>
        <w:t>北京冬奥会以来，中国冰雪产业稳步发展，全民冰雪热情持续高涨，很多省区市出台了促进冰雪运动和冰雪产业方面的专项政策。冰雪市场主体不断涌现，成为直接推动冰雪产业发展的重要力量。作为我国最北方省份，黑龙江拥有得天独厚的地理优势和丰富的冰雪资源，积极践行“冰天雪地也是金山银山”理念，把冰雪旅游产业纳入经济社会发展总体规划，出台《黑龙江省冰雪旅游专项规划》《黑龙江省冰雪经济发展规划（2022—2030年）》等文件，聚焦创新旅游产品、提升服务质量和旅游体验等方面谋新求变，2023—2024年，哈尔滨市的冰雪旅游带动整个黑龙江省文旅产业发展。五常市把发展冰雪经济作为新增长点，推动冰雪运动、冰雪文化、冰雪旅游全产业链发展，成为现代服务业转型发展的新动能。</w:t>
      </w:r>
    </w:p>
    <w:p w14:paraId="0CCB2003">
      <w:pPr>
        <w:snapToGrid w:val="0"/>
        <w:spacing w:line="360" w:lineRule="auto"/>
        <w:ind w:left="0" w:leftChars="0" w:firstLine="602" w:firstLineChars="200"/>
        <w:jc w:val="both"/>
        <w:outlineLvl w:val="9"/>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b/>
          <w:bCs/>
          <w:color w:val="auto"/>
          <w:kern w:val="2"/>
          <w:sz w:val="30"/>
          <w:szCs w:val="30"/>
          <w:highlight w:val="none"/>
          <w:lang w:val="en-US" w:eastAsia="zh-CN" w:bidi="ar-SA"/>
        </w:rPr>
        <w:t>生态文明建设助推经济高质量发展。</w:t>
      </w:r>
      <w:r>
        <w:rPr>
          <w:rFonts w:hint="eastAsia" w:ascii="仿宋_GB2312" w:hAnsi="仿宋_GB2312" w:eastAsia="仿宋_GB2312" w:cs="仿宋_GB2312"/>
          <w:color w:val="auto"/>
          <w:kern w:val="2"/>
          <w:sz w:val="30"/>
          <w:szCs w:val="30"/>
          <w:highlight w:val="none"/>
          <w:lang w:val="en-US" w:eastAsia="zh-CN" w:bidi="ar-SA"/>
        </w:rPr>
        <w:t>党的十八大以来，我国生态环境保护发生历史性、转折性、全局性变化，生态文明建设取得举世瞩目成就，有力推动人与自然和谐</w:t>
      </w:r>
      <w:r>
        <w:rPr>
          <w:rFonts w:hint="eastAsia" w:ascii="仿宋_GB2312" w:hAnsi="仿宋_GB2312" w:eastAsia="仿宋_GB2312" w:cs="仿宋_GB2312"/>
          <w:snapToGrid w:val="0"/>
          <w:color w:val="auto"/>
          <w:kern w:val="2"/>
          <w:sz w:val="30"/>
          <w:szCs w:val="30"/>
          <w:highlight w:val="none"/>
          <w:lang w:val="en-US" w:eastAsia="zh-CN" w:bidi="ar-SA"/>
        </w:rPr>
        <w:t>共生</w:t>
      </w:r>
      <w:r>
        <w:rPr>
          <w:rFonts w:hint="eastAsia" w:ascii="仿宋_GB2312" w:hAnsi="仿宋_GB2312" w:eastAsia="仿宋_GB2312" w:cs="仿宋_GB2312"/>
          <w:color w:val="auto"/>
          <w:kern w:val="2"/>
          <w:sz w:val="30"/>
          <w:szCs w:val="30"/>
          <w:highlight w:val="none"/>
          <w:lang w:val="en-US" w:eastAsia="zh-CN" w:bidi="ar-SA"/>
        </w:rPr>
        <w:t>成为全党全社会的共同认识，“绿水青山就是金山银山”成为全国各族人民的共同理念。推进中国式现代化，实现人与自然和谐共生，必须努力探索以生态优先、绿色发展为导向的高质量发展新路子。在2023年全国生态环境保护大会上，习近平总书记深刻阐述了新征程上推进生态文明建设需要处理好的五个重大关系，首当其冲就是高质量发展和高水平保护的关系。根据《关于全面推进美丽中国建设的意见》，建设美丽中国是全面建设社会主义现代化国家的重要目标，锚定2035年美丽中国目标基本实现，五常市抓紧重大发展机遇，持续优化产业结构，推动产业振兴发展，加快构建具有五常特色的现代化产业体系，全面推进生产和生活方式绿色低碳转型，以高水平保护助推经济社会高质量发展。</w:t>
      </w:r>
    </w:p>
    <w:p w14:paraId="2DDBEB2B">
      <w:pPr>
        <w:pStyle w:val="4"/>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28" w:name="_Toc30453"/>
      <w:bookmarkStart w:id="29" w:name="_Toc6113"/>
      <w:r>
        <w:rPr>
          <w:rFonts w:hint="eastAsia" w:ascii="仿宋_GB2312" w:hAnsi="仿宋_GB2312" w:eastAsia="仿宋_GB2312" w:cs="仿宋_GB2312"/>
          <w:snapToGrid/>
          <w:kern w:val="2"/>
          <w:sz w:val="30"/>
          <w:szCs w:val="30"/>
          <w:highlight w:val="none"/>
          <w:lang w:val="en-US" w:eastAsia="zh-CN"/>
        </w:rPr>
        <w:t>面临挑战</w:t>
      </w:r>
      <w:bookmarkEnd w:id="28"/>
      <w:bookmarkEnd w:id="29"/>
    </w:p>
    <w:p w14:paraId="6EECB039">
      <w:pPr>
        <w:snapToGrid w:val="0"/>
        <w:spacing w:line="360" w:lineRule="auto"/>
        <w:ind w:left="0" w:leftChars="0" w:firstLine="600" w:firstLineChars="200"/>
        <w:jc w:val="both"/>
        <w:outlineLvl w:val="9"/>
        <w:rPr>
          <w:rFonts w:hint="eastAsia" w:ascii="仿宋_GB2312" w:hAnsi="仿宋_GB2312" w:eastAsia="仿宋_GB2312" w:cs="仿宋_GB2312"/>
          <w:snapToGrid w:val="0"/>
          <w:color w:val="000000"/>
          <w:kern w:val="0"/>
          <w:sz w:val="30"/>
          <w:szCs w:val="30"/>
          <w:highlight w:val="none"/>
          <w:lang w:val="en-US" w:eastAsia="en-US" w:bidi="ar-SA"/>
        </w:rPr>
      </w:pPr>
      <w:r>
        <w:rPr>
          <w:rFonts w:hint="eastAsia" w:ascii="仿宋_GB2312" w:hAnsi="仿宋_GB2312" w:eastAsia="仿宋_GB2312" w:cs="仿宋_GB2312"/>
          <w:snapToGrid w:val="0"/>
          <w:color w:val="000000"/>
          <w:kern w:val="0"/>
          <w:sz w:val="30"/>
          <w:szCs w:val="30"/>
          <w:highlight w:val="none"/>
          <w:lang w:val="en-US" w:eastAsia="en-US" w:bidi="ar-SA"/>
        </w:rPr>
        <w:t>“十四五”时期以来，我国生态文明建设进入了以降碳为重点战略方向、推动减污降碳协同增效、促进经济社会发展全面绿色转型、实现生态环境质量改善由量变到质变的关键时期。</w:t>
      </w:r>
      <w:r>
        <w:rPr>
          <w:rFonts w:hint="eastAsia" w:ascii="仿宋_GB2312" w:hAnsi="仿宋_GB2312" w:eastAsia="仿宋_GB2312" w:cs="仿宋_GB2312"/>
          <w:snapToGrid w:val="0"/>
          <w:color w:val="000000"/>
          <w:kern w:val="0"/>
          <w:sz w:val="30"/>
          <w:szCs w:val="30"/>
          <w:highlight w:val="none"/>
          <w:lang w:val="en-US" w:eastAsia="zh-CN" w:bidi="ar-SA"/>
        </w:rPr>
        <w:t>新形势新要求下，</w:t>
      </w:r>
      <w:r>
        <w:rPr>
          <w:rFonts w:hint="eastAsia" w:ascii="仿宋_GB2312" w:hAnsi="仿宋_GB2312" w:eastAsia="仿宋_GB2312" w:cs="仿宋_GB2312"/>
          <w:snapToGrid w:val="0"/>
          <w:color w:val="000000"/>
          <w:kern w:val="0"/>
          <w:sz w:val="30"/>
          <w:szCs w:val="30"/>
          <w:highlight w:val="none"/>
          <w:lang w:val="en-US" w:eastAsia="en-US" w:bidi="ar-SA"/>
        </w:rPr>
        <w:t>五常市推进生态文明建设</w:t>
      </w:r>
      <w:r>
        <w:rPr>
          <w:rFonts w:hint="eastAsia" w:ascii="仿宋_GB2312" w:hAnsi="仿宋_GB2312" w:eastAsia="仿宋_GB2312" w:cs="仿宋_GB2312"/>
          <w:snapToGrid w:val="0"/>
          <w:color w:val="000000"/>
          <w:kern w:val="0"/>
          <w:sz w:val="30"/>
          <w:szCs w:val="30"/>
          <w:highlight w:val="none"/>
          <w:lang w:val="en-US" w:eastAsia="zh-CN" w:bidi="ar-SA"/>
        </w:rPr>
        <w:t>仍然</w:t>
      </w:r>
      <w:r>
        <w:rPr>
          <w:rFonts w:hint="eastAsia" w:ascii="仿宋_GB2312" w:hAnsi="仿宋_GB2312" w:eastAsia="仿宋_GB2312" w:cs="仿宋_GB2312"/>
          <w:snapToGrid w:val="0"/>
          <w:color w:val="000000"/>
          <w:kern w:val="0"/>
          <w:sz w:val="30"/>
          <w:szCs w:val="30"/>
          <w:highlight w:val="none"/>
          <w:lang w:val="en-US" w:eastAsia="en-US" w:bidi="ar-SA"/>
        </w:rPr>
        <w:t>面临一系列</w:t>
      </w:r>
      <w:r>
        <w:rPr>
          <w:rFonts w:hint="eastAsia" w:ascii="仿宋_GB2312" w:hAnsi="仿宋_GB2312" w:eastAsia="仿宋_GB2312" w:cs="仿宋_GB2312"/>
          <w:snapToGrid w:val="0"/>
          <w:color w:val="000000"/>
          <w:kern w:val="0"/>
          <w:sz w:val="30"/>
          <w:szCs w:val="30"/>
          <w:highlight w:val="none"/>
          <w:lang w:val="en-US" w:eastAsia="zh-CN" w:bidi="ar-SA"/>
        </w:rPr>
        <w:t>压力和</w:t>
      </w:r>
      <w:r>
        <w:rPr>
          <w:rFonts w:hint="eastAsia" w:ascii="仿宋_GB2312" w:hAnsi="仿宋_GB2312" w:eastAsia="仿宋_GB2312" w:cs="仿宋_GB2312"/>
          <w:snapToGrid w:val="0"/>
          <w:color w:val="000000"/>
          <w:kern w:val="0"/>
          <w:sz w:val="30"/>
          <w:szCs w:val="30"/>
          <w:highlight w:val="none"/>
          <w:lang w:val="en-US" w:eastAsia="en-US" w:bidi="ar-SA"/>
        </w:rPr>
        <w:t>挑战，</w:t>
      </w:r>
      <w:r>
        <w:rPr>
          <w:rFonts w:hint="eastAsia" w:ascii="仿宋_GB2312" w:hAnsi="仿宋_GB2312" w:eastAsia="仿宋_GB2312" w:cs="仿宋_GB2312"/>
          <w:snapToGrid w:val="0"/>
          <w:color w:val="000000"/>
          <w:kern w:val="0"/>
          <w:sz w:val="30"/>
          <w:szCs w:val="30"/>
          <w:highlight w:val="none"/>
          <w:lang w:val="en-US" w:eastAsia="zh-CN" w:bidi="ar-SA"/>
        </w:rPr>
        <w:t>也是我国经济社会绿色发展和环境高水平保护</w:t>
      </w:r>
      <w:r>
        <w:rPr>
          <w:rFonts w:hint="eastAsia" w:ascii="仿宋_GB2312" w:hAnsi="仿宋_GB2312" w:eastAsia="仿宋_GB2312" w:cs="仿宋_GB2312"/>
          <w:snapToGrid w:val="0"/>
          <w:color w:val="000000"/>
          <w:kern w:val="0"/>
          <w:sz w:val="30"/>
          <w:szCs w:val="30"/>
          <w:highlight w:val="none"/>
          <w:lang w:val="en-US" w:eastAsia="en-US" w:bidi="ar-SA"/>
        </w:rPr>
        <w:t>的</w:t>
      </w:r>
      <w:r>
        <w:rPr>
          <w:rFonts w:hint="eastAsia" w:ascii="仿宋_GB2312" w:hAnsi="仿宋_GB2312" w:eastAsia="仿宋_GB2312" w:cs="仿宋_GB2312"/>
          <w:snapToGrid w:val="0"/>
          <w:color w:val="000000"/>
          <w:kern w:val="0"/>
          <w:sz w:val="30"/>
          <w:szCs w:val="30"/>
          <w:highlight w:val="none"/>
          <w:lang w:val="en-US" w:eastAsia="zh-CN" w:bidi="ar-SA"/>
        </w:rPr>
        <w:t>共同</w:t>
      </w:r>
      <w:r>
        <w:rPr>
          <w:rFonts w:hint="eastAsia" w:ascii="仿宋_GB2312" w:hAnsi="仿宋_GB2312" w:eastAsia="仿宋_GB2312" w:cs="仿宋_GB2312"/>
          <w:snapToGrid w:val="0"/>
          <w:color w:val="000000"/>
          <w:kern w:val="0"/>
          <w:sz w:val="30"/>
          <w:szCs w:val="30"/>
          <w:highlight w:val="none"/>
          <w:lang w:val="en-US" w:eastAsia="en-US" w:bidi="ar-SA"/>
        </w:rPr>
        <w:t>难题。</w:t>
      </w:r>
    </w:p>
    <w:p w14:paraId="2F0BE4C5">
      <w:pPr>
        <w:snapToGrid w:val="0"/>
        <w:spacing w:line="360" w:lineRule="auto"/>
        <w:ind w:left="0" w:leftChars="0" w:firstLine="602" w:firstLineChars="200"/>
        <w:jc w:val="both"/>
        <w:outlineLvl w:val="9"/>
        <w:rPr>
          <w:rFonts w:hint="eastAsia" w:ascii="仿宋_GB2312" w:hAnsi="仿宋_GB2312" w:eastAsia="仿宋_GB2312" w:cs="仿宋_GB2312"/>
          <w:snapToGrid w:val="0"/>
          <w:color w:val="000000"/>
          <w:kern w:val="0"/>
          <w:sz w:val="30"/>
          <w:szCs w:val="30"/>
          <w:highlight w:val="none"/>
          <w:lang w:val="en-US" w:eastAsia="en-US" w:bidi="ar-SA"/>
        </w:rPr>
      </w:pPr>
      <w:r>
        <w:rPr>
          <w:rFonts w:hint="eastAsia" w:ascii="仿宋_GB2312" w:hAnsi="仿宋_GB2312" w:eastAsia="仿宋_GB2312" w:cs="仿宋_GB2312"/>
          <w:b/>
          <w:bCs/>
          <w:snapToGrid w:val="0"/>
          <w:color w:val="000000"/>
          <w:kern w:val="0"/>
          <w:sz w:val="30"/>
          <w:szCs w:val="30"/>
          <w:highlight w:val="none"/>
          <w:lang w:val="en-US" w:eastAsia="zh-CN" w:bidi="ar-SA"/>
        </w:rPr>
        <w:t>资源环境约束和管控日益增强。</w:t>
      </w:r>
      <w:r>
        <w:rPr>
          <w:rFonts w:hint="eastAsia" w:ascii="仿宋_GB2312" w:hAnsi="仿宋_GB2312" w:eastAsia="仿宋_GB2312" w:cs="仿宋_GB2312"/>
          <w:snapToGrid w:val="0"/>
          <w:color w:val="000000"/>
          <w:kern w:val="0"/>
          <w:sz w:val="30"/>
          <w:szCs w:val="30"/>
          <w:highlight w:val="none"/>
          <w:lang w:val="en-US" w:eastAsia="en-US" w:bidi="ar-SA"/>
        </w:rPr>
        <w:t>当前以及未来一定时期是我国实现生态环境质量改善由量变到质变的相持阶段，是从污染防治攻坚战向美丽中国建设迈进的转型阶段，是推动实现人与自然和谐共生的现代化的提速阶段。</w:t>
      </w:r>
      <w:r>
        <w:rPr>
          <w:rFonts w:hint="eastAsia" w:ascii="仿宋_GB2312" w:hAnsi="仿宋_GB2312" w:eastAsia="仿宋_GB2312" w:cs="仿宋_GB2312"/>
          <w:snapToGrid w:val="0"/>
          <w:color w:val="000000"/>
          <w:kern w:val="0"/>
          <w:sz w:val="30"/>
          <w:szCs w:val="30"/>
          <w:highlight w:val="none"/>
          <w:lang w:val="en-US" w:eastAsia="zh-CN" w:bidi="ar-SA"/>
        </w:rPr>
        <w:t>随着五常市</w:t>
      </w:r>
      <w:r>
        <w:rPr>
          <w:rFonts w:hint="eastAsia" w:ascii="仿宋_GB2312" w:hAnsi="仿宋_GB2312" w:eastAsia="仿宋_GB2312" w:cs="仿宋_GB2312"/>
          <w:snapToGrid w:val="0"/>
          <w:color w:val="000000"/>
          <w:kern w:val="0"/>
          <w:sz w:val="30"/>
          <w:szCs w:val="30"/>
          <w:highlight w:val="none"/>
          <w:lang w:val="en-US" w:eastAsia="en-US" w:bidi="ar-SA"/>
        </w:rPr>
        <w:t>新型工业化、城镇化</w:t>
      </w:r>
      <w:r>
        <w:rPr>
          <w:rFonts w:hint="eastAsia" w:ascii="仿宋_GB2312" w:hAnsi="仿宋_GB2312" w:eastAsia="仿宋_GB2312" w:cs="仿宋_GB2312"/>
          <w:snapToGrid w:val="0"/>
          <w:color w:val="000000"/>
          <w:kern w:val="0"/>
          <w:sz w:val="30"/>
          <w:szCs w:val="30"/>
          <w:highlight w:val="none"/>
          <w:lang w:val="en-US" w:eastAsia="zh-CN" w:bidi="ar-SA"/>
        </w:rPr>
        <w:t>进</w:t>
      </w:r>
      <w:r>
        <w:rPr>
          <w:rFonts w:hint="eastAsia" w:ascii="仿宋_GB2312" w:hAnsi="仿宋_GB2312" w:eastAsia="仿宋_GB2312" w:cs="仿宋_GB2312"/>
          <w:snapToGrid w:val="0"/>
          <w:color w:val="000000"/>
          <w:kern w:val="0"/>
          <w:sz w:val="30"/>
          <w:szCs w:val="30"/>
          <w:highlight w:val="none"/>
          <w:lang w:val="en-US" w:eastAsia="en-US" w:bidi="ar-SA"/>
        </w:rPr>
        <w:t>深入</w:t>
      </w:r>
      <w:r>
        <w:rPr>
          <w:rFonts w:hint="eastAsia" w:ascii="仿宋_GB2312" w:hAnsi="仿宋_GB2312" w:eastAsia="仿宋_GB2312" w:cs="仿宋_GB2312"/>
          <w:snapToGrid w:val="0"/>
          <w:color w:val="000000"/>
          <w:kern w:val="0"/>
          <w:sz w:val="30"/>
          <w:szCs w:val="30"/>
          <w:highlight w:val="none"/>
          <w:lang w:val="en-US" w:eastAsia="zh-CN" w:bidi="ar-SA"/>
        </w:rPr>
        <w:t>程推进，</w:t>
      </w:r>
      <w:r>
        <w:rPr>
          <w:rFonts w:hint="eastAsia" w:ascii="仿宋_GB2312" w:hAnsi="仿宋_GB2312" w:eastAsia="仿宋_GB2312" w:cs="仿宋_GB2312"/>
          <w:snapToGrid w:val="0"/>
          <w:color w:val="000000"/>
          <w:kern w:val="0"/>
          <w:sz w:val="30"/>
          <w:szCs w:val="30"/>
          <w:highlight w:val="none"/>
          <w:lang w:val="en-US" w:eastAsia="en-US" w:bidi="ar-SA"/>
        </w:rPr>
        <w:t>耕地、水资源、生态保护三条红线的硬性约束日益加剧。</w:t>
      </w:r>
      <w:r>
        <w:rPr>
          <w:rFonts w:hint="eastAsia" w:ascii="仿宋_GB2312" w:hAnsi="仿宋_GB2312" w:eastAsia="仿宋_GB2312" w:cs="仿宋_GB2312"/>
          <w:snapToGrid w:val="0"/>
          <w:color w:val="000000"/>
          <w:kern w:val="0"/>
          <w:sz w:val="30"/>
          <w:szCs w:val="30"/>
          <w:highlight w:val="none"/>
          <w:lang w:val="en-US" w:eastAsia="zh-CN" w:bidi="ar-SA"/>
        </w:rPr>
        <w:t>随着</w:t>
      </w:r>
      <w:r>
        <w:rPr>
          <w:rFonts w:hint="eastAsia" w:ascii="仿宋_GB2312" w:hAnsi="仿宋_GB2312" w:eastAsia="仿宋_GB2312" w:cs="仿宋_GB2312"/>
          <w:snapToGrid w:val="0"/>
          <w:color w:val="000000"/>
          <w:kern w:val="0"/>
          <w:sz w:val="30"/>
          <w:szCs w:val="30"/>
          <w:highlight w:val="none"/>
          <w:lang w:val="en-US" w:eastAsia="en-US" w:bidi="ar-SA"/>
        </w:rPr>
        <w:t>工业项目建设速度加快</w:t>
      </w:r>
      <w:r>
        <w:rPr>
          <w:rFonts w:hint="eastAsia" w:ascii="仿宋_GB2312" w:hAnsi="仿宋_GB2312" w:eastAsia="仿宋_GB2312" w:cs="仿宋_GB2312"/>
          <w:snapToGrid w:val="0"/>
          <w:color w:val="000000"/>
          <w:kern w:val="0"/>
          <w:sz w:val="30"/>
          <w:szCs w:val="30"/>
          <w:highlight w:val="none"/>
          <w:lang w:val="en-US" w:eastAsia="zh-CN" w:bidi="ar-SA"/>
        </w:rPr>
        <w:t>，</w:t>
      </w:r>
      <w:r>
        <w:rPr>
          <w:rFonts w:hint="eastAsia" w:ascii="仿宋_GB2312" w:hAnsi="仿宋_GB2312" w:eastAsia="仿宋_GB2312" w:cs="仿宋_GB2312"/>
          <w:snapToGrid w:val="0"/>
          <w:color w:val="000000"/>
          <w:kern w:val="0"/>
          <w:sz w:val="30"/>
          <w:szCs w:val="30"/>
          <w:highlight w:val="none"/>
          <w:lang w:val="en-US" w:eastAsia="en-US" w:bidi="ar-SA"/>
        </w:rPr>
        <w:t>工业排放、农业生产活动</w:t>
      </w:r>
      <w:r>
        <w:rPr>
          <w:rFonts w:hint="eastAsia" w:ascii="仿宋_GB2312" w:hAnsi="仿宋_GB2312" w:eastAsia="仿宋_GB2312" w:cs="仿宋_GB2312"/>
          <w:snapToGrid w:val="0"/>
          <w:color w:val="000000"/>
          <w:kern w:val="0"/>
          <w:sz w:val="30"/>
          <w:szCs w:val="30"/>
          <w:highlight w:val="none"/>
          <w:lang w:val="en-US" w:eastAsia="zh-CN" w:bidi="ar-SA"/>
        </w:rPr>
        <w:t>、土地开发</w:t>
      </w:r>
      <w:r>
        <w:rPr>
          <w:rFonts w:hint="eastAsia" w:ascii="仿宋_GB2312" w:hAnsi="仿宋_GB2312" w:eastAsia="仿宋_GB2312" w:cs="仿宋_GB2312"/>
          <w:snapToGrid w:val="0"/>
          <w:color w:val="000000"/>
          <w:kern w:val="0"/>
          <w:sz w:val="30"/>
          <w:szCs w:val="30"/>
          <w:highlight w:val="none"/>
          <w:lang w:val="en-US" w:eastAsia="en-US" w:bidi="ar-SA"/>
        </w:rPr>
        <w:t>，增加</w:t>
      </w:r>
      <w:r>
        <w:rPr>
          <w:rFonts w:hint="eastAsia" w:ascii="仿宋_GB2312" w:hAnsi="仿宋_GB2312" w:eastAsia="仿宋_GB2312" w:cs="仿宋_GB2312"/>
          <w:snapToGrid w:val="0"/>
          <w:color w:val="000000"/>
          <w:kern w:val="0"/>
          <w:sz w:val="30"/>
          <w:szCs w:val="30"/>
          <w:highlight w:val="none"/>
          <w:lang w:val="en-US" w:eastAsia="zh-CN" w:bidi="ar-SA"/>
        </w:rPr>
        <w:t>生态修复、</w:t>
      </w:r>
      <w:r>
        <w:rPr>
          <w:rFonts w:hint="eastAsia" w:ascii="仿宋_GB2312" w:hAnsi="仿宋_GB2312" w:eastAsia="仿宋_GB2312" w:cs="仿宋_GB2312"/>
          <w:snapToGrid w:val="0"/>
          <w:color w:val="000000"/>
          <w:kern w:val="0"/>
          <w:sz w:val="30"/>
          <w:szCs w:val="30"/>
          <w:highlight w:val="none"/>
          <w:lang w:val="en-US" w:eastAsia="en-US" w:bidi="ar-SA"/>
        </w:rPr>
        <w:t>污染治理的压力。如何</w:t>
      </w:r>
      <w:r>
        <w:rPr>
          <w:rFonts w:hint="eastAsia" w:ascii="仿宋_GB2312" w:hAnsi="仿宋_GB2312" w:eastAsia="仿宋_GB2312" w:cs="仿宋_GB2312"/>
          <w:snapToGrid w:val="0"/>
          <w:color w:val="000000"/>
          <w:kern w:val="0"/>
          <w:sz w:val="30"/>
          <w:szCs w:val="30"/>
          <w:highlight w:val="none"/>
          <w:lang w:val="en-US" w:eastAsia="zh-CN" w:bidi="ar-SA"/>
        </w:rPr>
        <w:t>平衡</w:t>
      </w:r>
      <w:r>
        <w:rPr>
          <w:rFonts w:hint="eastAsia" w:ascii="仿宋_GB2312" w:hAnsi="仿宋_GB2312" w:eastAsia="仿宋_GB2312" w:cs="仿宋_GB2312"/>
          <w:snapToGrid w:val="0"/>
          <w:color w:val="000000"/>
          <w:kern w:val="0"/>
          <w:sz w:val="30"/>
          <w:szCs w:val="30"/>
          <w:highlight w:val="none"/>
          <w:lang w:val="en-US" w:eastAsia="en-US" w:bidi="ar-SA"/>
        </w:rPr>
        <w:t>生态系统</w:t>
      </w:r>
      <w:r>
        <w:rPr>
          <w:rFonts w:hint="eastAsia" w:ascii="仿宋_GB2312" w:hAnsi="仿宋_GB2312" w:eastAsia="仿宋_GB2312" w:cs="仿宋_GB2312"/>
          <w:snapToGrid w:val="0"/>
          <w:color w:val="000000"/>
          <w:kern w:val="0"/>
          <w:sz w:val="30"/>
          <w:szCs w:val="30"/>
          <w:highlight w:val="none"/>
          <w:lang w:val="en-US" w:eastAsia="zh-CN" w:bidi="ar-SA"/>
        </w:rPr>
        <w:t>保护</w:t>
      </w:r>
      <w:r>
        <w:rPr>
          <w:rFonts w:hint="eastAsia" w:ascii="仿宋_GB2312" w:hAnsi="仿宋_GB2312" w:eastAsia="仿宋_GB2312" w:cs="仿宋_GB2312"/>
          <w:snapToGrid w:val="0"/>
          <w:color w:val="000000"/>
          <w:kern w:val="0"/>
          <w:sz w:val="30"/>
          <w:szCs w:val="30"/>
          <w:highlight w:val="none"/>
          <w:lang w:val="en-US" w:eastAsia="en-US" w:bidi="ar-SA"/>
        </w:rPr>
        <w:t>、</w:t>
      </w:r>
      <w:r>
        <w:rPr>
          <w:rFonts w:hint="eastAsia" w:ascii="仿宋_GB2312" w:hAnsi="仿宋_GB2312" w:eastAsia="仿宋_GB2312" w:cs="仿宋_GB2312"/>
          <w:snapToGrid w:val="0"/>
          <w:color w:val="000000"/>
          <w:kern w:val="0"/>
          <w:sz w:val="30"/>
          <w:szCs w:val="30"/>
          <w:highlight w:val="none"/>
          <w:lang w:val="en-US" w:eastAsia="zh-CN" w:bidi="ar-SA"/>
        </w:rPr>
        <w:t>环境污染治理</w:t>
      </w:r>
      <w:r>
        <w:rPr>
          <w:rFonts w:hint="eastAsia" w:ascii="仿宋_GB2312" w:hAnsi="仿宋_GB2312" w:eastAsia="仿宋_GB2312" w:cs="仿宋_GB2312"/>
          <w:snapToGrid w:val="0"/>
          <w:color w:val="000000"/>
          <w:kern w:val="0"/>
          <w:sz w:val="30"/>
          <w:szCs w:val="30"/>
          <w:highlight w:val="none"/>
          <w:lang w:val="en-US" w:eastAsia="en-US" w:bidi="ar-SA"/>
        </w:rPr>
        <w:t>成为</w:t>
      </w:r>
      <w:r>
        <w:rPr>
          <w:rFonts w:hint="eastAsia" w:ascii="仿宋_GB2312" w:hAnsi="仿宋_GB2312" w:eastAsia="仿宋_GB2312" w:cs="仿宋_GB2312"/>
          <w:snapToGrid w:val="0"/>
          <w:color w:val="000000"/>
          <w:kern w:val="0"/>
          <w:sz w:val="30"/>
          <w:szCs w:val="30"/>
          <w:highlight w:val="none"/>
          <w:lang w:val="en-US" w:eastAsia="zh-CN" w:bidi="ar-SA"/>
        </w:rPr>
        <w:t>五常市</w:t>
      </w:r>
      <w:r>
        <w:rPr>
          <w:rFonts w:hint="eastAsia" w:ascii="仿宋_GB2312" w:hAnsi="仿宋_GB2312" w:eastAsia="仿宋_GB2312" w:cs="仿宋_GB2312"/>
          <w:snapToGrid w:val="0"/>
          <w:color w:val="000000"/>
          <w:kern w:val="0"/>
          <w:sz w:val="30"/>
          <w:szCs w:val="30"/>
          <w:highlight w:val="none"/>
          <w:lang w:val="en-US" w:eastAsia="en-US" w:bidi="ar-SA"/>
        </w:rPr>
        <w:t>推动经济高质量发展面临的重要挑战之一。</w:t>
      </w:r>
      <w:r>
        <w:rPr>
          <w:rFonts w:hint="eastAsia" w:ascii="仿宋_GB2312" w:hAnsi="仿宋_GB2312" w:eastAsia="仿宋_GB2312" w:cs="仿宋_GB2312"/>
          <w:snapToGrid w:val="0"/>
          <w:color w:val="000000"/>
          <w:kern w:val="0"/>
          <w:sz w:val="30"/>
          <w:szCs w:val="30"/>
          <w:highlight w:val="none"/>
          <w:lang w:val="en-US" w:eastAsia="zh-CN" w:bidi="ar-SA"/>
        </w:rPr>
        <w:t>而</w:t>
      </w:r>
      <w:r>
        <w:rPr>
          <w:rFonts w:hint="eastAsia" w:ascii="仿宋_GB2312" w:hAnsi="仿宋_GB2312" w:eastAsia="仿宋_GB2312" w:cs="仿宋_GB2312"/>
          <w:snapToGrid w:val="0"/>
          <w:color w:val="000000"/>
          <w:kern w:val="0"/>
          <w:sz w:val="30"/>
          <w:szCs w:val="30"/>
          <w:highlight w:val="none"/>
          <w:lang w:val="en-US" w:eastAsia="en-US" w:bidi="ar-SA"/>
        </w:rPr>
        <w:t>全球气候变化带来的极端天气事件频发，可能</w:t>
      </w:r>
      <w:r>
        <w:rPr>
          <w:rFonts w:hint="eastAsia" w:ascii="仿宋_GB2312" w:hAnsi="仿宋_GB2312" w:eastAsia="仿宋_GB2312" w:cs="仿宋_GB2312"/>
          <w:snapToGrid w:val="0"/>
          <w:color w:val="000000"/>
          <w:kern w:val="0"/>
          <w:sz w:val="30"/>
          <w:szCs w:val="30"/>
          <w:highlight w:val="none"/>
          <w:lang w:val="en-US" w:eastAsia="zh-CN" w:bidi="ar-SA"/>
        </w:rPr>
        <w:t>给</w:t>
      </w:r>
      <w:r>
        <w:rPr>
          <w:rFonts w:hint="eastAsia" w:ascii="仿宋_GB2312" w:hAnsi="仿宋_GB2312" w:eastAsia="仿宋_GB2312" w:cs="仿宋_GB2312"/>
          <w:snapToGrid w:val="0"/>
          <w:color w:val="000000"/>
          <w:kern w:val="0"/>
          <w:sz w:val="30"/>
          <w:szCs w:val="30"/>
          <w:highlight w:val="none"/>
          <w:lang w:val="en-US" w:eastAsia="en-US" w:bidi="ar-SA"/>
        </w:rPr>
        <w:t>当地的生态环境</w:t>
      </w:r>
      <w:r>
        <w:rPr>
          <w:rFonts w:hint="eastAsia" w:ascii="仿宋_GB2312" w:hAnsi="仿宋_GB2312" w:eastAsia="仿宋_GB2312" w:cs="仿宋_GB2312"/>
          <w:snapToGrid w:val="0"/>
          <w:color w:val="000000"/>
          <w:kern w:val="0"/>
          <w:sz w:val="30"/>
          <w:szCs w:val="30"/>
          <w:highlight w:val="none"/>
          <w:lang w:val="en-US" w:eastAsia="zh-CN" w:bidi="ar-SA"/>
        </w:rPr>
        <w:t>保护、</w:t>
      </w:r>
      <w:r>
        <w:rPr>
          <w:rFonts w:hint="eastAsia" w:ascii="仿宋_GB2312" w:hAnsi="仿宋_GB2312" w:eastAsia="仿宋_GB2312" w:cs="仿宋_GB2312"/>
          <w:snapToGrid w:val="0"/>
          <w:color w:val="000000"/>
          <w:kern w:val="0"/>
          <w:sz w:val="30"/>
          <w:szCs w:val="30"/>
          <w:highlight w:val="none"/>
          <w:lang w:val="en-US" w:eastAsia="en-US" w:bidi="ar-SA"/>
        </w:rPr>
        <w:t>生态</w:t>
      </w:r>
      <w:r>
        <w:rPr>
          <w:rFonts w:hint="eastAsia" w:ascii="仿宋_GB2312" w:hAnsi="仿宋_GB2312" w:eastAsia="仿宋_GB2312" w:cs="仿宋_GB2312"/>
          <w:snapToGrid w:val="0"/>
          <w:color w:val="000000"/>
          <w:kern w:val="0"/>
          <w:sz w:val="30"/>
          <w:szCs w:val="30"/>
          <w:highlight w:val="none"/>
          <w:lang w:val="en-US" w:eastAsia="zh-CN" w:bidi="ar-SA"/>
        </w:rPr>
        <w:t>系统修复</w:t>
      </w:r>
      <w:r>
        <w:rPr>
          <w:rFonts w:hint="eastAsia" w:ascii="仿宋_GB2312" w:hAnsi="仿宋_GB2312" w:eastAsia="仿宋_GB2312" w:cs="仿宋_GB2312"/>
          <w:snapToGrid w:val="0"/>
          <w:color w:val="000000"/>
          <w:kern w:val="0"/>
          <w:sz w:val="30"/>
          <w:szCs w:val="30"/>
          <w:highlight w:val="none"/>
          <w:lang w:val="en-US" w:eastAsia="en-US" w:bidi="ar-SA"/>
        </w:rPr>
        <w:t>带来新的挑战。</w:t>
      </w:r>
    </w:p>
    <w:p w14:paraId="78D7DA3C">
      <w:pPr>
        <w:snapToGrid w:val="0"/>
        <w:spacing w:line="360" w:lineRule="auto"/>
        <w:ind w:left="0" w:leftChars="0" w:firstLine="602" w:firstLineChars="200"/>
        <w:jc w:val="both"/>
        <w:outlineLvl w:val="9"/>
        <w:rPr>
          <w:rFonts w:hint="eastAsia" w:ascii="仿宋_GB2312" w:hAnsi="仿宋_GB2312" w:eastAsia="仿宋_GB2312" w:cs="仿宋_GB2312"/>
          <w:sz w:val="30"/>
          <w:szCs w:val="30"/>
          <w:highlight w:val="none"/>
        </w:rPr>
      </w:pPr>
      <w:r>
        <w:rPr>
          <w:rFonts w:hint="eastAsia" w:ascii="仿宋_GB2312" w:hAnsi="仿宋_GB2312" w:eastAsia="仿宋_GB2312" w:cs="仿宋_GB2312"/>
          <w:b/>
          <w:bCs/>
          <w:color w:val="auto"/>
          <w:sz w:val="30"/>
          <w:szCs w:val="30"/>
          <w:highlight w:val="none"/>
          <w:lang w:val="zh-CN"/>
        </w:rPr>
        <w:t>产业绿色转型升级压力依然较大</w:t>
      </w:r>
      <w:r>
        <w:rPr>
          <w:rFonts w:hint="eastAsia" w:ascii="仿宋_GB2312" w:hAnsi="仿宋_GB2312" w:eastAsia="仿宋_GB2312" w:cs="仿宋_GB2312"/>
          <w:bCs/>
          <w:color w:val="auto"/>
          <w:sz w:val="30"/>
          <w:szCs w:val="30"/>
          <w:highlight w:val="none"/>
          <w:lang w:val="zh-CN"/>
        </w:rPr>
        <w:t>。</w:t>
      </w:r>
      <w:r>
        <w:rPr>
          <w:rFonts w:hint="eastAsia" w:ascii="仿宋_GB2312" w:hAnsi="仿宋_GB2312" w:eastAsia="仿宋_GB2312" w:cs="仿宋_GB2312"/>
          <w:sz w:val="30"/>
          <w:szCs w:val="30"/>
          <w:highlight w:val="none"/>
        </w:rPr>
        <w:t>从产业价值角度来看，五常市本地产业链较短，涵盖的重点环节有限，产业的整体价值较低；从现代化建设的角度，五常市产业加工主要集中在粗加工环节，农业机械化程度较低，缺少标准化的科技创新服务机构，</w:t>
      </w:r>
      <w:r>
        <w:rPr>
          <w:rFonts w:hint="eastAsia" w:ascii="仿宋_GB2312" w:hAnsi="仿宋_GB2312" w:eastAsia="仿宋_GB2312" w:cs="仿宋_GB2312"/>
          <w:sz w:val="30"/>
          <w:szCs w:val="30"/>
          <w:highlight w:val="none"/>
          <w:lang w:eastAsia="zh-CN"/>
        </w:rPr>
        <w:t>战略性</w:t>
      </w:r>
      <w:r>
        <w:rPr>
          <w:rFonts w:hint="eastAsia" w:ascii="仿宋_GB2312" w:hAnsi="仿宋_GB2312" w:eastAsia="仿宋_GB2312" w:cs="仿宋_GB2312"/>
          <w:sz w:val="30"/>
          <w:szCs w:val="30"/>
          <w:highlight w:val="none"/>
        </w:rPr>
        <w:t>新兴产业比例极低，先进制造业的供给动能不足；从品牌建设的角度，深陷“五常大米”品牌困局，现代化营销理念缺位，商标注册量亟待提升，品牌品种混淆不清，未建立统一的生产销售标准，以品牌建设助力农业高质量发展需求迫切。</w:t>
      </w:r>
    </w:p>
    <w:p w14:paraId="24F97F28">
      <w:pPr>
        <w:keepNext w:val="0"/>
        <w:keepLines w:val="0"/>
        <w:pageBreakBefore w:val="0"/>
        <w:widowControl/>
        <w:kinsoku/>
        <w:wordWrap/>
        <w:overflowPunct/>
        <w:topLinePunct w:val="0"/>
        <w:autoSpaceDE w:val="0"/>
        <w:autoSpaceDN w:val="0"/>
        <w:bidi w:val="0"/>
        <w:adjustRightInd w:val="0"/>
        <w:snapToGrid w:val="0"/>
        <w:spacing w:line="360" w:lineRule="auto"/>
        <w:ind w:firstLine="602" w:firstLineChars="200"/>
        <w:jc w:val="both"/>
        <w:textAlignment w:val="baseline"/>
        <w:rPr>
          <w:rFonts w:hint="eastAsia" w:ascii="仿宋_GB2312" w:hAnsi="仿宋_GB2312" w:eastAsia="仿宋_GB2312" w:cs="仿宋_GB2312"/>
          <w:color w:val="auto"/>
          <w:sz w:val="30"/>
          <w:szCs w:val="30"/>
          <w:highlight w:val="none"/>
          <w:lang w:val="zh-CN"/>
        </w:rPr>
      </w:pPr>
      <w:r>
        <w:rPr>
          <w:rFonts w:hint="eastAsia" w:ascii="仿宋_GB2312" w:hAnsi="仿宋_GB2312" w:eastAsia="仿宋_GB2312" w:cs="仿宋_GB2312"/>
          <w:b/>
          <w:bCs/>
          <w:color w:val="auto"/>
          <w:sz w:val="30"/>
          <w:szCs w:val="30"/>
          <w:highlight w:val="none"/>
          <w:lang w:val="zh-CN"/>
        </w:rPr>
        <w:t>区域资源要素竞争形势更加激烈</w:t>
      </w:r>
      <w:r>
        <w:rPr>
          <w:rFonts w:hint="eastAsia" w:ascii="仿宋_GB2312" w:hAnsi="仿宋_GB2312" w:eastAsia="仿宋_GB2312" w:cs="仿宋_GB2312"/>
          <w:bCs/>
          <w:color w:val="auto"/>
          <w:sz w:val="30"/>
          <w:szCs w:val="30"/>
          <w:highlight w:val="none"/>
          <w:lang w:val="zh-CN"/>
        </w:rPr>
        <w:t>。</w:t>
      </w:r>
      <w:r>
        <w:rPr>
          <w:rFonts w:hint="eastAsia" w:ascii="仿宋_GB2312" w:hAnsi="仿宋_GB2312" w:eastAsia="仿宋_GB2312" w:cs="仿宋_GB2312"/>
          <w:color w:val="auto"/>
          <w:sz w:val="30"/>
          <w:szCs w:val="30"/>
          <w:highlight w:val="none"/>
          <w:lang w:val="zh-CN"/>
        </w:rPr>
        <w:t>五常快捷交通格局全面形成以及周边城市社会经济快速发展的同时，一定程度上加剧地区间对技术、人才、资本等资源要素的争夺。农村人口非农就业和持续外流，形成农村空心化、农业边缘化和农民老龄化。</w:t>
      </w:r>
      <w:r>
        <w:rPr>
          <w:rFonts w:hint="eastAsia" w:ascii="仿宋_GB2312" w:hAnsi="仿宋_GB2312" w:eastAsia="仿宋_GB2312" w:cs="仿宋_GB2312"/>
          <w:color w:val="auto"/>
          <w:sz w:val="30"/>
          <w:szCs w:val="30"/>
          <w:highlight w:val="none"/>
          <w:lang w:val="en-US" w:eastAsia="zh-CN"/>
        </w:rPr>
        <w:t>此外，</w:t>
      </w:r>
      <w:r>
        <w:rPr>
          <w:rFonts w:hint="eastAsia" w:ascii="仿宋_GB2312" w:hAnsi="仿宋_GB2312" w:eastAsia="仿宋_GB2312" w:cs="仿宋_GB2312"/>
          <w:color w:val="auto"/>
          <w:sz w:val="30"/>
          <w:szCs w:val="30"/>
          <w:highlight w:val="none"/>
          <w:lang w:val="zh-CN"/>
        </w:rPr>
        <w:t>随着国内外社会经济形势变化，资源能源约束趋紧，生态环境压力日益增大。</w:t>
      </w:r>
    </w:p>
    <w:p w14:paraId="19CD4B5B">
      <w:pPr>
        <w:keepNext w:val="0"/>
        <w:keepLines w:val="0"/>
        <w:pageBreakBefore w:val="0"/>
        <w:widowControl/>
        <w:kinsoku/>
        <w:wordWrap/>
        <w:overflowPunct/>
        <w:topLinePunct w:val="0"/>
        <w:autoSpaceDE w:val="0"/>
        <w:autoSpaceDN w:val="0"/>
        <w:bidi w:val="0"/>
        <w:adjustRightInd w:val="0"/>
        <w:snapToGrid w:val="0"/>
        <w:spacing w:line="360" w:lineRule="auto"/>
        <w:ind w:firstLine="602" w:firstLineChars="200"/>
        <w:jc w:val="both"/>
        <w:textAlignment w:val="baseline"/>
        <w:rPr>
          <w:rFonts w:hint="eastAsia" w:ascii="仿宋_GB2312" w:hAnsi="仿宋_GB2312" w:eastAsia="仿宋_GB2312" w:cs="仿宋_GB2312"/>
          <w:color w:val="auto"/>
          <w:sz w:val="30"/>
          <w:szCs w:val="30"/>
          <w:highlight w:val="none"/>
          <w:lang w:val="zh-CN"/>
        </w:rPr>
      </w:pPr>
      <w:r>
        <w:rPr>
          <w:rFonts w:hint="eastAsia" w:ascii="仿宋_GB2312" w:hAnsi="仿宋_GB2312" w:eastAsia="仿宋_GB2312" w:cs="仿宋_GB2312"/>
          <w:b/>
          <w:bCs/>
          <w:color w:val="auto"/>
          <w:sz w:val="30"/>
          <w:szCs w:val="30"/>
          <w:highlight w:val="none"/>
          <w:lang w:val="zh-CN"/>
        </w:rPr>
        <w:t>加快补齐民生治理短板任务艰巨</w:t>
      </w:r>
      <w:r>
        <w:rPr>
          <w:rFonts w:hint="eastAsia" w:ascii="仿宋_GB2312" w:hAnsi="仿宋_GB2312" w:eastAsia="仿宋_GB2312" w:cs="仿宋_GB2312"/>
          <w:bCs/>
          <w:color w:val="auto"/>
          <w:sz w:val="30"/>
          <w:szCs w:val="30"/>
          <w:highlight w:val="none"/>
          <w:lang w:val="zh-CN"/>
        </w:rPr>
        <w:t>。近年来，五常坚持深挖城市空间板块、产业结构、人文特色等城市元素，高水平规划城市发展蓝图，不断优化城市空间布局和功能分区。但是，</w:t>
      </w:r>
      <w:r>
        <w:rPr>
          <w:rFonts w:hint="eastAsia" w:ascii="仿宋_GB2312" w:hAnsi="仿宋_GB2312" w:eastAsia="仿宋_GB2312" w:cs="仿宋_GB2312"/>
          <w:color w:val="auto"/>
          <w:sz w:val="30"/>
          <w:szCs w:val="30"/>
          <w:highlight w:val="none"/>
          <w:lang w:val="zh-CN"/>
        </w:rPr>
        <w:t>受财力物力限制，基础设施配套不完善，综合承载能力不强，成为制约五常生态文明建设取得新进步的重要瓶颈。特别是城镇公共服务欠账较多、均等化水平偏低，农村配套基础设施和公共服务设施也存在较大差距，难以满足人民群众日益增长的美好生活需要</w:t>
      </w:r>
      <w:r>
        <w:rPr>
          <w:rFonts w:hint="eastAsia" w:ascii="仿宋_GB2312" w:hAnsi="仿宋_GB2312" w:eastAsia="仿宋_GB2312" w:cs="仿宋_GB2312"/>
          <w:i w:val="0"/>
          <w:iCs w:val="0"/>
          <w:caps w:val="0"/>
          <w:color w:val="2C2C36"/>
          <w:spacing w:val="0"/>
          <w:sz w:val="30"/>
          <w:szCs w:val="30"/>
          <w:highlight w:val="none"/>
          <w:shd w:val="clear" w:fill="FFFFFF"/>
        </w:rPr>
        <w:t>。</w:t>
      </w:r>
    </w:p>
    <w:p w14:paraId="480B49B8">
      <w:pPr>
        <w:pStyle w:val="2"/>
        <w:keepNext w:val="0"/>
        <w:keepLines w:val="0"/>
        <w:pageBreakBefore w:val="0"/>
        <w:widowControl w:val="0"/>
        <w:kinsoku/>
        <w:wordWrap/>
        <w:overflowPunct/>
        <w:topLinePunct w:val="0"/>
        <w:autoSpaceDE/>
        <w:autoSpaceDN/>
        <w:bidi w:val="0"/>
        <w:adjustRightInd/>
        <w:snapToGrid/>
        <w:jc w:val="both"/>
        <w:textAlignment w:val="auto"/>
        <w:rPr>
          <w:rFonts w:hint="eastAsia" w:cstheme="minorBidi"/>
          <w:snapToGrid/>
          <w:color w:val="auto"/>
          <w:szCs w:val="24"/>
          <w:highlight w:val="none"/>
          <w:lang w:eastAsia="zh-CN"/>
        </w:rPr>
      </w:pPr>
      <w:bookmarkStart w:id="30" w:name="_Toc7619"/>
      <w:bookmarkStart w:id="31" w:name="_Toc15455"/>
      <w:r>
        <w:rPr>
          <w:rFonts w:hint="eastAsia" w:cstheme="minorBidi"/>
          <w:snapToGrid/>
          <w:color w:val="auto"/>
          <w:szCs w:val="24"/>
          <w:highlight w:val="none"/>
          <w:lang w:eastAsia="zh-CN"/>
        </w:rPr>
        <w:t>二、规划总则</w:t>
      </w:r>
      <w:bookmarkEnd w:id="30"/>
      <w:bookmarkEnd w:id="31"/>
    </w:p>
    <w:p w14:paraId="3765AB3E">
      <w:pPr>
        <w:pStyle w:val="3"/>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0"/>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32" w:name="_Toc13579"/>
      <w:bookmarkStart w:id="33" w:name="_Toc4773"/>
      <w:r>
        <w:rPr>
          <w:rFonts w:hint="eastAsia" w:ascii="方正楷体_GB2312" w:hAnsi="方正楷体_GB2312" w:eastAsia="方正楷体_GB2312" w:cs="方正楷体_GB2312"/>
          <w:b/>
          <w:bCs/>
          <w:snapToGrid/>
          <w:kern w:val="2"/>
          <w:szCs w:val="24"/>
          <w:highlight w:val="none"/>
          <w:lang w:eastAsia="zh-CN"/>
        </w:rPr>
        <w:t>指导思想</w:t>
      </w:r>
      <w:bookmarkEnd w:id="32"/>
      <w:bookmarkEnd w:id="33"/>
    </w:p>
    <w:p w14:paraId="0D24CB18">
      <w:pPr>
        <w:keepNext w:val="0"/>
        <w:keepLines w:val="0"/>
        <w:pageBreakBefore w:val="0"/>
        <w:widowControl/>
        <w:kinsoku/>
        <w:wordWrap/>
        <w:overflowPunct/>
        <w:topLinePunct w:val="0"/>
        <w:autoSpaceDE w:val="0"/>
        <w:autoSpaceDN w:val="0"/>
        <w:bidi w:val="0"/>
        <w:adjustRightInd w:val="0"/>
        <w:snapToGrid w:val="0"/>
        <w:spacing w:line="360" w:lineRule="auto"/>
        <w:ind w:firstLine="600" w:firstLineChars="200"/>
        <w:jc w:val="both"/>
        <w:textAlignment w:val="baseline"/>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以习近平新时代中国特色社会主义思想特别是习近平生态文明思想为指导，深入贯彻党的二十大精神和习近平总书记视察黑龙江期间重要讲话重要指示精神，落实全国和全省生态环境保护大会部署，牢固树立“绿水青山就是金山银山，冰天雪地也是金山银山”理念，抢抓国家推动新时代东北全面振兴取得新突破若干政策措施的重大历史机遇，正确处理好新征程上推进生态文明建设的“五个重大关系”，培育发展新动能、新优势、新增长点。立足五常的区位和生态优势，围绕承接落实国家“五大安全”战略定位和加快建设“国家县城新型城镇化建设示范县试点”发展定位，</w:t>
      </w:r>
      <w:r>
        <w:rPr>
          <w:rFonts w:hint="eastAsia" w:ascii="仿宋_GB2312" w:hAnsi="仿宋_GB2312" w:eastAsia="仿宋_GB2312" w:cs="仿宋_GB2312"/>
          <w:snapToGrid w:val="0"/>
          <w:color w:val="auto"/>
          <w:kern w:val="0"/>
          <w:sz w:val="30"/>
          <w:szCs w:val="30"/>
          <w:highlight w:val="none"/>
          <w:lang w:val="en-US" w:eastAsia="zh-CN" w:bidi="ar-SA"/>
        </w:rPr>
        <w:t>统筹产业结构调整、污染治理、生态保护、应对气候变化</w:t>
      </w:r>
      <w:r>
        <w:rPr>
          <w:rFonts w:hint="eastAsia" w:ascii="仿宋_GB2312" w:hAnsi="仿宋_GB2312" w:eastAsia="仿宋_GB2312" w:cs="仿宋_GB2312"/>
          <w:i w:val="0"/>
          <w:iCs w:val="0"/>
          <w:caps w:val="0"/>
          <w:snapToGrid w:val="0"/>
          <w:color w:val="auto"/>
          <w:spacing w:val="0"/>
          <w:kern w:val="0"/>
          <w:sz w:val="30"/>
          <w:szCs w:val="30"/>
          <w:highlight w:val="none"/>
          <w:shd w:val="clear"/>
          <w:lang w:eastAsia="zh-CN"/>
        </w:rPr>
        <w:t>，协同推进降碳、减污、扩绿、增长</w:t>
      </w:r>
      <w:r>
        <w:rPr>
          <w:rFonts w:hint="eastAsia" w:ascii="仿宋_GB2312" w:hAnsi="仿宋_GB2312" w:eastAsia="仿宋_GB2312" w:cs="仿宋_GB2312"/>
          <w:color w:val="auto"/>
          <w:sz w:val="30"/>
          <w:szCs w:val="30"/>
          <w:highlight w:val="none"/>
          <w:lang w:val="en-US" w:eastAsia="zh-CN"/>
        </w:rPr>
        <w:t>，加快形成资源节约、环境友好的生产生活方式，全面提升生态环境治理体系和治理能力现代化水平，协同推进经济高质量发展、生态环境高水平保护和人民群众高品质生活，以更高标准谋划建设成深入践行习近平生态文明思想的“五常样板”，努力在全面推进美丽龙江建设的实践中展现五常新作为。</w:t>
      </w:r>
    </w:p>
    <w:p w14:paraId="63C67499">
      <w:pPr>
        <w:pStyle w:val="3"/>
        <w:keepNext w:val="0"/>
        <w:keepLines w:val="0"/>
        <w:pageBreakBefore w:val="0"/>
        <w:widowControl w:val="0"/>
        <w:numPr>
          <w:ilvl w:val="0"/>
          <w:numId w:val="4"/>
        </w:numPr>
        <w:kinsoku/>
        <w:wordWrap/>
        <w:overflowPunct/>
        <w:topLinePunct w:val="0"/>
        <w:autoSpaceDE/>
        <w:autoSpaceDN/>
        <w:bidi w:val="0"/>
        <w:adjustRightInd/>
        <w:snapToGrid/>
        <w:ind w:left="0" w:leftChars="0" w:firstLine="420" w:firstLineChars="0"/>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34" w:name="_Toc5304"/>
      <w:bookmarkStart w:id="35" w:name="_Toc24732"/>
      <w:r>
        <w:rPr>
          <w:rFonts w:hint="eastAsia" w:ascii="方正楷体_GB2312" w:hAnsi="方正楷体_GB2312" w:eastAsia="方正楷体_GB2312" w:cs="方正楷体_GB2312"/>
          <w:b/>
          <w:bCs/>
          <w:snapToGrid/>
          <w:kern w:val="2"/>
          <w:szCs w:val="24"/>
          <w:highlight w:val="none"/>
          <w:lang w:eastAsia="zh-CN"/>
        </w:rPr>
        <w:t>规划原则</w:t>
      </w:r>
      <w:bookmarkEnd w:id="34"/>
      <w:bookmarkEnd w:id="35"/>
    </w:p>
    <w:p w14:paraId="0FA65E44">
      <w:pPr>
        <w:pStyle w:val="11"/>
        <w:keepNext w:val="0"/>
        <w:keepLines w:val="0"/>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坚持生态优先、绿色发展。</w:t>
      </w:r>
      <w:r>
        <w:rPr>
          <w:rFonts w:hint="eastAsia" w:ascii="Times New Roman" w:hAnsi="Times New Roman" w:eastAsia="仿宋_GB2312" w:cs="Times New Roman"/>
          <w:snapToGrid/>
          <w:color w:val="auto"/>
          <w:kern w:val="2"/>
          <w:sz w:val="30"/>
          <w:szCs w:val="30"/>
          <w:highlight w:val="none"/>
          <w:lang w:val="en-US" w:eastAsia="zh-CN" w:bidi="ar-SA"/>
        </w:rPr>
        <w:t>严格落实生态环境分区管控要求，推动产业发展和生态环境保护协同共进，坚定不移走生产发展、生活富裕、生态良好的发展道路，筑牢祖国北方生态安全屏障。牢固树立“两山”理念，积极探索生态产品价值实现路径，推动生态资源优势转化为产业发展优势，以高品质生态环境支撑经济高质量发展。以加快经济社会发展全面绿色转型为引领，大力推动经济社会发展绿色化、低碳化，形成节约资源和保护环境的空间格局、产业结构、生产和生活方式。</w:t>
      </w:r>
    </w:p>
    <w:p w14:paraId="37439E7B">
      <w:pPr>
        <w:pStyle w:val="11"/>
        <w:keepNext w:val="0"/>
        <w:keepLines w:val="0"/>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坚持统筹协调、系统观念。</w:t>
      </w:r>
      <w:r>
        <w:rPr>
          <w:rFonts w:hint="eastAsia" w:ascii="Times New Roman" w:hAnsi="Times New Roman" w:eastAsia="仿宋_GB2312" w:cs="Times New Roman"/>
          <w:snapToGrid/>
          <w:color w:val="auto"/>
          <w:kern w:val="2"/>
          <w:sz w:val="30"/>
          <w:szCs w:val="30"/>
          <w:highlight w:val="none"/>
          <w:lang w:val="en-US" w:eastAsia="zh-CN" w:bidi="ar-SA"/>
        </w:rPr>
        <w:t>牢固树立生态环境保护建设大局观、长远观、整体观，加强前瞻性思考、全局性谋划、整体性推进，坚持山水林田湖草沙一体化保护和系统治理，推进国家重点生态功能区保护修复工作再上新台阶。统筹产业结构调整、污染治理、生态保护、应对气候变化，协同推进降碳、减污、扩绿、增长，推动局部和全局相协调、治标和治本相贯通、当前和长远相结合，增强生态环境保护工作的系统性、整体性、协同性。</w:t>
      </w:r>
    </w:p>
    <w:p w14:paraId="673D1B54">
      <w:pPr>
        <w:pStyle w:val="11"/>
        <w:keepNext w:val="0"/>
        <w:keepLines w:val="0"/>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坚持守正创新、深化改革。</w:t>
      </w:r>
      <w:r>
        <w:rPr>
          <w:rFonts w:hint="eastAsia" w:ascii="Times New Roman" w:hAnsi="Times New Roman" w:eastAsia="仿宋_GB2312" w:cs="Times New Roman"/>
          <w:b w:val="0"/>
          <w:bCs w:val="0"/>
          <w:snapToGrid/>
          <w:color w:val="auto"/>
          <w:kern w:val="2"/>
          <w:sz w:val="30"/>
          <w:szCs w:val="30"/>
          <w:highlight w:val="none"/>
          <w:lang w:val="en-US" w:eastAsia="zh-CN" w:bidi="ar-SA"/>
        </w:rPr>
        <w:t>深入贯彻落实党的二十届三中全会精神，</w:t>
      </w:r>
      <w:r>
        <w:rPr>
          <w:rFonts w:hint="eastAsia" w:ascii="Times New Roman" w:hAnsi="Times New Roman" w:eastAsia="仿宋_GB2312" w:cs="Times New Roman"/>
          <w:snapToGrid/>
          <w:color w:val="auto"/>
          <w:kern w:val="2"/>
          <w:sz w:val="30"/>
          <w:szCs w:val="30"/>
          <w:highlight w:val="none"/>
          <w:lang w:val="en-US" w:eastAsia="zh-CN" w:bidi="ar-SA"/>
        </w:rPr>
        <w:t>深化生态文明体制改革和机制创新，进一步健全生态文明制度体系。加强以改善生态环境质量为核心的目标责任落实，完善生态文明建设领导责任和目标考核体系，强化生态文明建设领导干部目标考核和责任追究。健全以治理体系和治理能力现代化为保障的生态文明制度体系，着力塑造生态文化体系，加快构建绿色低碳循环发展的现代化产业体系。</w:t>
      </w:r>
    </w:p>
    <w:p w14:paraId="112BD3D3">
      <w:pPr>
        <w:pStyle w:val="11"/>
        <w:keepNext w:val="0"/>
        <w:keepLines w:val="0"/>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坚持人民至上，共建共享。</w:t>
      </w:r>
      <w:r>
        <w:rPr>
          <w:rFonts w:hint="eastAsia" w:ascii="Times New Roman" w:hAnsi="Times New Roman" w:eastAsia="仿宋_GB2312" w:cs="Times New Roman"/>
          <w:snapToGrid/>
          <w:color w:val="auto"/>
          <w:kern w:val="2"/>
          <w:sz w:val="30"/>
          <w:szCs w:val="30"/>
          <w:highlight w:val="none"/>
          <w:lang w:val="en-US" w:eastAsia="zh-CN" w:bidi="ar-SA"/>
        </w:rPr>
        <w:t>坚持以人民为中心，把人民幸福安康作为推动高质量发展的出发点和落脚点，更好谋划人民群众期盼的良好生产生活环境，提供更多优质生态产品，以满足人民群众日益增长的优美生态环境需要，不断增进人民群众福祉。加强全社会生态文明建设责任意识培育，形成党委、政府、企业社会组织和公众多元一体、全民行动的生态文明建设治理体系，促进生态文明建设成果共建共享，提升生态文明建设治理能力。</w:t>
      </w:r>
    </w:p>
    <w:p w14:paraId="37418DD7">
      <w:pPr>
        <w:pStyle w:val="3"/>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36" w:name="_Toc1312"/>
      <w:bookmarkStart w:id="37" w:name="_Toc22141"/>
      <w:r>
        <w:rPr>
          <w:rFonts w:hint="eastAsia" w:ascii="方正楷体_GB2312" w:hAnsi="方正楷体_GB2312" w:eastAsia="方正楷体_GB2312" w:cs="方正楷体_GB2312"/>
          <w:b/>
          <w:bCs/>
          <w:snapToGrid/>
          <w:kern w:val="2"/>
          <w:szCs w:val="24"/>
          <w:highlight w:val="none"/>
          <w:lang w:eastAsia="zh-CN"/>
        </w:rPr>
        <w:t>（三）规划范围和期限</w:t>
      </w:r>
      <w:bookmarkEnd w:id="36"/>
      <w:bookmarkEnd w:id="37"/>
    </w:p>
    <w:p w14:paraId="103D507D">
      <w:pPr>
        <w:pStyle w:val="11"/>
        <w:pageBreakBefore w:val="0"/>
        <w:widowControl w:val="0"/>
        <w:kinsoku/>
        <w:wordWrap/>
        <w:overflowPunct/>
        <w:topLinePunct w:val="0"/>
        <w:autoSpaceDE/>
        <w:autoSpaceDN/>
        <w:bidi w:val="0"/>
        <w:adjustRightInd/>
        <w:snapToGrid w:val="0"/>
        <w:spacing w:line="360" w:lineRule="auto"/>
        <w:ind w:left="0" w:leftChars="0" w:firstLine="600"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snapToGrid/>
          <w:color w:val="auto"/>
          <w:kern w:val="2"/>
          <w:sz w:val="30"/>
          <w:szCs w:val="30"/>
          <w:highlight w:val="none"/>
          <w:lang w:val="en-US" w:eastAsia="zh-CN" w:bidi="ar-SA"/>
        </w:rPr>
        <w:t>规划范围为五常市全域，市辖12个镇12个乡，261个行政村，辖区总面积为7512平方公里。以2023年为基准年，规划期限为2024—2030年。其中，2024至2026年，为达标创建期；2027至2030年，为深化提质期。</w:t>
      </w:r>
    </w:p>
    <w:p w14:paraId="7E6AD6D5">
      <w:pPr>
        <w:pStyle w:val="3"/>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38" w:name="_Toc29987"/>
      <w:bookmarkStart w:id="39" w:name="_Toc28573"/>
      <w:r>
        <w:rPr>
          <w:rFonts w:hint="eastAsia" w:ascii="方正楷体_GB2312" w:hAnsi="方正楷体_GB2312" w:eastAsia="方正楷体_GB2312" w:cs="方正楷体_GB2312"/>
          <w:b/>
          <w:bCs/>
          <w:snapToGrid/>
          <w:kern w:val="2"/>
          <w:szCs w:val="24"/>
          <w:highlight w:val="none"/>
          <w:lang w:eastAsia="zh-CN"/>
        </w:rPr>
        <w:t>（四）规划目标</w:t>
      </w:r>
      <w:bookmarkEnd w:id="38"/>
      <w:bookmarkEnd w:id="39"/>
    </w:p>
    <w:p w14:paraId="49834241">
      <w:pPr>
        <w:pStyle w:val="11"/>
        <w:pageBreakBefore w:val="0"/>
        <w:widowControl w:val="0"/>
        <w:kinsoku/>
        <w:wordWrap/>
        <w:overflowPunct/>
        <w:topLinePunct w:val="0"/>
        <w:autoSpaceDE/>
        <w:autoSpaceDN/>
        <w:bidi w:val="0"/>
        <w:adjustRightInd/>
        <w:snapToGrid w:val="0"/>
        <w:spacing w:line="360" w:lineRule="auto"/>
        <w:ind w:left="0" w:leftChars="0" w:firstLine="600"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snapToGrid/>
          <w:color w:val="auto"/>
          <w:kern w:val="2"/>
          <w:sz w:val="30"/>
          <w:szCs w:val="30"/>
          <w:highlight w:val="none"/>
          <w:lang w:val="en-US" w:eastAsia="zh-CN" w:bidi="ar-SA"/>
        </w:rPr>
        <w:t>立足五常市生态环境治理水平、经济社会环境发展阶段，围绕打造人与自然和谐共生美丽中国示范样板的战略目标，全面落实国家、黑龙江省、哈尔滨市生态文明建设的总体要求和战略部署，结合国家重大战略部署和五常市重点发展方向，按照“固根基、扬优势、补短板、强弱项”总体思路，对标对表生态文明建设示范区建设指标要求，着力实施目标责任、生态安全、生态经济、生态文化、生态文明制度五大方面任务措施，推动生态文明建设实现新进步。力争用4～6年左右时间，以更高标准将五常市奋力打造成深入践行习近平生态文明思想的“五常样板”。</w:t>
      </w:r>
    </w:p>
    <w:p w14:paraId="6728AE5A">
      <w:pPr>
        <w:pStyle w:val="4"/>
        <w:keepNext w:val="0"/>
        <w:keepLines w:val="0"/>
        <w:pageBreakBefore w:val="0"/>
        <w:widowControl w:val="0"/>
        <w:numPr>
          <w:ilvl w:val="0"/>
          <w:numId w:val="5"/>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40" w:name="_Toc31105"/>
      <w:bookmarkStart w:id="41" w:name="_Toc32508"/>
      <w:r>
        <w:rPr>
          <w:rFonts w:hint="eastAsia" w:ascii="仿宋_GB2312" w:hAnsi="仿宋_GB2312" w:eastAsia="仿宋_GB2312" w:cs="仿宋_GB2312"/>
          <w:snapToGrid/>
          <w:kern w:val="2"/>
          <w:sz w:val="30"/>
          <w:szCs w:val="30"/>
          <w:highlight w:val="none"/>
          <w:lang w:val="en-US" w:eastAsia="zh-CN"/>
        </w:rPr>
        <w:t>达标创建期（2024—2025年）</w:t>
      </w:r>
      <w:bookmarkEnd w:id="40"/>
      <w:bookmarkEnd w:id="41"/>
    </w:p>
    <w:p w14:paraId="7A00CED4">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积极开展生态文明建设示范区创建工作。</w:t>
      </w:r>
      <w:r>
        <w:rPr>
          <w:rFonts w:hint="eastAsia" w:ascii="Times New Roman" w:hAnsi="Times New Roman" w:eastAsia="仿宋_GB2312" w:cs="Times New Roman"/>
          <w:snapToGrid/>
          <w:color w:val="auto"/>
          <w:kern w:val="2"/>
          <w:sz w:val="30"/>
          <w:szCs w:val="30"/>
          <w:highlight w:val="none"/>
          <w:lang w:val="en-US" w:eastAsia="zh-CN" w:bidi="ar-SA"/>
        </w:rPr>
        <w:t>到2025年，目标责任、生态文明制度体系健全完善，经济增长规模、质量、效益、效率显著提高，国土空间开发有序有效，生态环境质量稳定持续改善，城乡人居环境舒适宜居，以大米文化为品牌的生态文化魅力彰显，全社会生态文明意识普遍增强，节约、简约、低碳消费方式普遍推行，人民群众参与度、满意度明显提高，达到国家生态文明建设示范区（县）指标要求。</w:t>
      </w:r>
    </w:p>
    <w:p w14:paraId="412051FC">
      <w:pPr>
        <w:pStyle w:val="4"/>
        <w:keepNext w:val="0"/>
        <w:keepLines w:val="0"/>
        <w:pageBreakBefore w:val="0"/>
        <w:widowControl w:val="0"/>
        <w:numPr>
          <w:ilvl w:val="0"/>
          <w:numId w:val="5"/>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42" w:name="_Toc8080"/>
      <w:bookmarkStart w:id="43" w:name="_Toc26344"/>
      <w:r>
        <w:rPr>
          <w:rFonts w:hint="eastAsia" w:ascii="仿宋_GB2312" w:hAnsi="仿宋_GB2312" w:eastAsia="仿宋_GB2312" w:cs="仿宋_GB2312"/>
          <w:snapToGrid/>
          <w:kern w:val="2"/>
          <w:sz w:val="30"/>
          <w:szCs w:val="30"/>
          <w:highlight w:val="none"/>
          <w:lang w:val="en-US" w:eastAsia="zh-CN"/>
        </w:rPr>
        <w:t>深化提质期（2026—2030年）</w:t>
      </w:r>
      <w:bookmarkEnd w:id="42"/>
      <w:bookmarkEnd w:id="43"/>
    </w:p>
    <w:p w14:paraId="0F8E6386">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巩固提升生态文明建设示范区创建成果，建设人与自然和谐共生“美丽五常”</w:t>
      </w:r>
      <w:r>
        <w:rPr>
          <w:rFonts w:hint="eastAsia" w:ascii="Times New Roman" w:hAnsi="Times New Roman" w:eastAsia="仿宋_GB2312" w:cs="Times New Roman"/>
          <w:snapToGrid/>
          <w:color w:val="auto"/>
          <w:kern w:val="2"/>
          <w:sz w:val="30"/>
          <w:szCs w:val="30"/>
          <w:highlight w:val="none"/>
          <w:lang w:val="en-US" w:eastAsia="zh-CN" w:bidi="ar-SA"/>
        </w:rPr>
        <w:t>。生态文明建设治理体系和治理能力显著提升，生态环境领域治理体系和治理能力现代化基本实现；生态环境质量全面改善，生态系统多样性、稳定性、可持续性提高，区域生态安全屏障筑牢稳固；生产空间集约高效、生活空间宜居适度、生态空间山清水秀的国土开发保护格局基本形成，节约资源和保护生态环境的空间格局、产业结构、生产方式、生活方式总体形成，全社会生态文明素养大幅提升，生态文明理念更加深入人心，建成生态空间合理、产业绿色低碳、资源高效利用、生态环境安全、群众满意认可的“生态五常”“美丽五常”。</w:t>
      </w:r>
    </w:p>
    <w:p w14:paraId="71999BB2">
      <w:pPr>
        <w:pStyle w:val="3"/>
        <w:keepNext w:val="0"/>
        <w:keepLines w:val="0"/>
        <w:pageBreakBefore w:val="0"/>
        <w:widowControl w:val="0"/>
        <w:numPr>
          <w:ilvl w:val="0"/>
          <w:numId w:val="6"/>
        </w:numPr>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44" w:name="_Toc24624"/>
      <w:bookmarkStart w:id="45" w:name="_Toc7395"/>
      <w:r>
        <w:rPr>
          <w:rFonts w:hint="eastAsia" w:ascii="方正楷体_GB2312" w:hAnsi="方正楷体_GB2312" w:eastAsia="方正楷体_GB2312" w:cs="方正楷体_GB2312"/>
          <w:b/>
          <w:bCs/>
          <w:snapToGrid/>
          <w:kern w:val="2"/>
          <w:szCs w:val="24"/>
          <w:highlight w:val="none"/>
          <w:lang w:eastAsia="zh-CN"/>
        </w:rPr>
        <w:t>建设指标</w:t>
      </w:r>
      <w:bookmarkEnd w:id="44"/>
      <w:bookmarkEnd w:id="45"/>
    </w:p>
    <w:p w14:paraId="563674B6">
      <w:pPr>
        <w:keepNext w:val="0"/>
        <w:keepLines w:val="0"/>
        <w:widowControl/>
        <w:suppressLineNumbers w:val="0"/>
        <w:spacing w:line="360" w:lineRule="auto"/>
        <w:ind w:firstLine="600" w:firstLineChars="200"/>
        <w:jc w:val="both"/>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snapToGrid/>
          <w:color w:val="auto"/>
          <w:kern w:val="2"/>
          <w:sz w:val="30"/>
          <w:szCs w:val="30"/>
          <w:highlight w:val="none"/>
          <w:lang w:val="en-US" w:eastAsia="zh-CN" w:bidi="ar-SA"/>
        </w:rPr>
        <w:t>立足五常市区域工作实际和资源禀赋，结合《生态文明建设示范区（县）建设指标》（环办生态〔2024〕4号）要求，围绕五大领域、八大任务，从目标责任、生态安全、生态经济、生态文化、生态文明制度等方面构建规划指标体系。五常市共涉及生态文明建设示范区建设指标共25项，其中，包括19项约束性指标、6项参考性指标。</w:t>
      </w:r>
    </w:p>
    <w:p w14:paraId="3A86751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both"/>
        <w:textAlignment w:val="baseline"/>
        <w:rPr>
          <w:rFonts w:hint="default" w:ascii="Times New Roman" w:hAnsi="Times New Roman" w:eastAsia="仿宋_GB2312" w:cs="Times New Roman"/>
          <w:b w:val="0"/>
          <w:bCs w:val="0"/>
          <w:snapToGrid/>
          <w:color w:val="auto"/>
          <w:kern w:val="2"/>
          <w:sz w:val="30"/>
          <w:szCs w:val="30"/>
          <w:highlight w:val="none"/>
          <w:lang w:val="en-US" w:eastAsia="zh-CN" w:bidi="ar-SA"/>
        </w:rPr>
      </w:pPr>
      <w:r>
        <w:rPr>
          <w:rFonts w:hint="eastAsia" w:ascii="Times New Roman" w:hAnsi="Times New Roman" w:eastAsia="仿宋_GB2312" w:cs="Times New Roman"/>
          <w:b w:val="0"/>
          <w:bCs w:val="0"/>
          <w:snapToGrid/>
          <w:color w:val="auto"/>
          <w:kern w:val="2"/>
          <w:sz w:val="30"/>
          <w:szCs w:val="30"/>
          <w:highlight w:val="none"/>
          <w:lang w:val="en-US" w:eastAsia="zh-CN" w:bidi="ar-SA"/>
        </w:rPr>
        <w:t>其中，已达标指标21项，包括约束性指标16项；参考性指标5项。</w:t>
      </w:r>
      <w:r>
        <w:rPr>
          <w:rFonts w:hint="default" w:ascii="Times New Roman" w:hAnsi="Times New Roman" w:eastAsia="仿宋_GB2312" w:cs="Times New Roman"/>
          <w:b w:val="0"/>
          <w:bCs w:val="0"/>
          <w:snapToGrid/>
          <w:color w:val="auto"/>
          <w:kern w:val="2"/>
          <w:sz w:val="30"/>
          <w:szCs w:val="30"/>
          <w:highlight w:val="none"/>
          <w:lang w:val="en-US" w:eastAsia="zh-CN" w:bidi="ar-SA"/>
        </w:rPr>
        <w:t>未达标</w:t>
      </w:r>
      <w:r>
        <w:rPr>
          <w:rFonts w:hint="eastAsia" w:ascii="Times New Roman" w:hAnsi="Times New Roman" w:eastAsia="仿宋_GB2312" w:cs="Times New Roman"/>
          <w:b w:val="0"/>
          <w:bCs w:val="0"/>
          <w:snapToGrid/>
          <w:color w:val="auto"/>
          <w:kern w:val="2"/>
          <w:sz w:val="30"/>
          <w:szCs w:val="30"/>
          <w:highlight w:val="none"/>
          <w:lang w:val="en-US" w:eastAsia="zh-CN" w:bidi="ar-SA"/>
        </w:rPr>
        <w:t>指标3项，包括约束性指标3项、参考性指标0项。3项约束性指标分别为：生态文明建设工作占党政实绩考核的比例、环境空气质量、</w:t>
      </w:r>
      <w:r>
        <w:rPr>
          <w:rFonts w:hint="eastAsia" w:ascii="仿宋_GB2312" w:hAnsi="仿宋_GB2312" w:eastAsia="仿宋_GB2312" w:cs="仿宋_GB2312"/>
          <w:b w:val="0"/>
          <w:bCs w:val="0"/>
          <w:spacing w:val="9"/>
          <w:sz w:val="30"/>
          <w:szCs w:val="30"/>
          <w:highlight w:val="none"/>
          <w:lang w:eastAsia="zh-CN"/>
        </w:rPr>
        <w:t>一般工业固体废物</w:t>
      </w:r>
      <w:r>
        <w:rPr>
          <w:rFonts w:hint="eastAsia" w:ascii="仿宋_GB2312" w:hAnsi="仿宋_GB2312" w:eastAsia="仿宋_GB2312" w:cs="仿宋_GB2312"/>
          <w:b w:val="0"/>
          <w:bCs w:val="0"/>
          <w:sz w:val="30"/>
          <w:szCs w:val="30"/>
          <w:highlight w:val="none"/>
          <w:lang w:val="en-US" w:eastAsia="zh-CN"/>
        </w:rPr>
        <w:t>综合利用率。其中，</w:t>
      </w:r>
      <w:r>
        <w:rPr>
          <w:rFonts w:hint="eastAsia" w:ascii="Times New Roman" w:hAnsi="Times New Roman" w:eastAsia="仿宋_GB2312" w:cs="Times New Roman"/>
          <w:b w:val="0"/>
          <w:bCs w:val="0"/>
          <w:snapToGrid/>
          <w:color w:val="auto"/>
          <w:kern w:val="2"/>
          <w:sz w:val="30"/>
          <w:szCs w:val="30"/>
          <w:highlight w:val="none"/>
          <w:lang w:val="en-US" w:eastAsia="zh-CN" w:bidi="ar-SA"/>
        </w:rPr>
        <w:t>环境空气质量指标完成了上级规定的考核任务，但未保持稳定或持续下降趋势，暂认定为不达标。</w:t>
      </w:r>
      <w:r>
        <w:rPr>
          <w:rFonts w:hint="default" w:ascii="Times New Roman" w:hAnsi="Times New Roman" w:eastAsia="仿宋_GB2312" w:cs="Times New Roman"/>
          <w:b w:val="0"/>
          <w:bCs w:val="0"/>
          <w:snapToGrid/>
          <w:color w:val="auto"/>
          <w:kern w:val="2"/>
          <w:sz w:val="30"/>
          <w:szCs w:val="30"/>
          <w:highlight w:val="none"/>
          <w:lang w:val="en-US" w:eastAsia="zh-CN" w:bidi="ar-SA"/>
        </w:rPr>
        <w:t>暂未获得相关指标数据支撑</w:t>
      </w:r>
      <w:r>
        <w:rPr>
          <w:rFonts w:hint="eastAsia" w:ascii="Times New Roman" w:hAnsi="Times New Roman" w:eastAsia="仿宋_GB2312" w:cs="Times New Roman"/>
          <w:b w:val="0"/>
          <w:bCs w:val="0"/>
          <w:snapToGrid/>
          <w:color w:val="auto"/>
          <w:kern w:val="2"/>
          <w:sz w:val="30"/>
          <w:szCs w:val="30"/>
          <w:highlight w:val="none"/>
          <w:lang w:val="en-US" w:eastAsia="zh-CN" w:bidi="ar-SA"/>
        </w:rPr>
        <w:t>，</w:t>
      </w:r>
      <w:r>
        <w:rPr>
          <w:rFonts w:hint="default" w:ascii="Times New Roman" w:hAnsi="Times New Roman" w:eastAsia="仿宋_GB2312" w:cs="Times New Roman"/>
          <w:b w:val="0"/>
          <w:bCs w:val="0"/>
          <w:snapToGrid/>
          <w:color w:val="auto"/>
          <w:kern w:val="2"/>
          <w:sz w:val="30"/>
          <w:szCs w:val="30"/>
          <w:highlight w:val="none"/>
          <w:lang w:val="en-US" w:eastAsia="zh-CN" w:bidi="ar-SA"/>
        </w:rPr>
        <w:t>不确定是否达标指标</w:t>
      </w:r>
      <w:r>
        <w:rPr>
          <w:rFonts w:hint="eastAsia" w:ascii="Times New Roman" w:hAnsi="Times New Roman" w:eastAsia="仿宋_GB2312" w:cs="Times New Roman"/>
          <w:b w:val="0"/>
          <w:bCs w:val="0"/>
          <w:snapToGrid/>
          <w:color w:val="auto"/>
          <w:kern w:val="2"/>
          <w:sz w:val="30"/>
          <w:szCs w:val="30"/>
          <w:highlight w:val="none"/>
          <w:lang w:val="en-US" w:eastAsia="zh-CN" w:bidi="ar-SA"/>
        </w:rPr>
        <w:t>有1</w:t>
      </w:r>
      <w:r>
        <w:rPr>
          <w:rFonts w:hint="default" w:ascii="Times New Roman" w:hAnsi="Times New Roman" w:eastAsia="仿宋_GB2312" w:cs="Times New Roman"/>
          <w:b w:val="0"/>
          <w:bCs w:val="0"/>
          <w:snapToGrid/>
          <w:color w:val="auto"/>
          <w:kern w:val="2"/>
          <w:sz w:val="30"/>
          <w:szCs w:val="30"/>
          <w:highlight w:val="none"/>
          <w:lang w:val="en-US" w:eastAsia="zh-CN" w:bidi="ar-SA"/>
        </w:rPr>
        <w:t>项，</w:t>
      </w:r>
      <w:r>
        <w:rPr>
          <w:rFonts w:hint="eastAsia" w:ascii="Times New Roman" w:hAnsi="Times New Roman" w:eastAsia="仿宋_GB2312" w:cs="Times New Roman"/>
          <w:b w:val="0"/>
          <w:bCs w:val="0"/>
          <w:snapToGrid/>
          <w:color w:val="auto"/>
          <w:kern w:val="2"/>
          <w:sz w:val="30"/>
          <w:szCs w:val="30"/>
          <w:highlight w:val="none"/>
          <w:lang w:val="en-US" w:eastAsia="zh-CN" w:bidi="ar-SA"/>
        </w:rPr>
        <w:t>为</w:t>
      </w:r>
      <w:r>
        <w:rPr>
          <w:rFonts w:hint="default" w:ascii="Times New Roman" w:hAnsi="Times New Roman" w:eastAsia="仿宋_GB2312" w:cs="Times New Roman"/>
          <w:b w:val="0"/>
          <w:bCs w:val="0"/>
          <w:snapToGrid/>
          <w:color w:val="auto"/>
          <w:kern w:val="2"/>
          <w:sz w:val="30"/>
          <w:szCs w:val="30"/>
          <w:highlight w:val="none"/>
          <w:lang w:val="en-US" w:eastAsia="zh-CN" w:bidi="ar-SA"/>
        </w:rPr>
        <w:t>参考性指标</w:t>
      </w:r>
      <w:r>
        <w:rPr>
          <w:rFonts w:hint="eastAsia" w:ascii="Times New Roman" w:hAnsi="Times New Roman" w:eastAsia="仿宋_GB2312" w:cs="Times New Roman"/>
          <w:b w:val="0"/>
          <w:bCs w:val="0"/>
          <w:snapToGrid/>
          <w:color w:val="auto"/>
          <w:kern w:val="2"/>
          <w:sz w:val="30"/>
          <w:szCs w:val="30"/>
          <w:highlight w:val="none"/>
          <w:lang w:val="en-US" w:eastAsia="zh-CN" w:bidi="ar-SA"/>
        </w:rPr>
        <w:t>，为</w:t>
      </w:r>
      <w:r>
        <w:rPr>
          <w:rFonts w:hint="eastAsia" w:ascii="仿宋_GB2312" w:hAnsi="仿宋_GB2312" w:eastAsia="仿宋_GB2312" w:cs="仿宋_GB2312"/>
          <w:b w:val="0"/>
          <w:bCs w:val="0"/>
          <w:sz w:val="30"/>
          <w:szCs w:val="30"/>
          <w:highlight w:val="none"/>
          <w:lang w:val="en-US" w:eastAsia="zh-CN"/>
        </w:rPr>
        <w:t>声环境功能区夜间达标率</w:t>
      </w:r>
      <w:r>
        <w:rPr>
          <w:rFonts w:hint="default" w:ascii="Times New Roman" w:hAnsi="Times New Roman" w:eastAsia="仿宋_GB2312" w:cs="Times New Roman"/>
          <w:b w:val="0"/>
          <w:bCs w:val="0"/>
          <w:snapToGrid/>
          <w:color w:val="auto"/>
          <w:kern w:val="2"/>
          <w:sz w:val="30"/>
          <w:szCs w:val="30"/>
          <w:highlight w:val="none"/>
          <w:lang w:val="en-US" w:eastAsia="zh-CN" w:bidi="ar-SA"/>
        </w:rPr>
        <w:t>。</w:t>
      </w:r>
    </w:p>
    <w:p w14:paraId="799A265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both"/>
        <w:textAlignment w:val="baseline"/>
        <w:rPr>
          <w:rFonts w:hint="default" w:ascii="Times New Roman" w:hAnsi="Times New Roman" w:eastAsia="仿宋_GB2312" w:cs="Times New Roman"/>
          <w:b w:val="0"/>
          <w:bCs w:val="0"/>
          <w:snapToGrid/>
          <w:color w:val="auto"/>
          <w:kern w:val="2"/>
          <w:sz w:val="30"/>
          <w:szCs w:val="30"/>
          <w:highlight w:val="none"/>
          <w:lang w:val="en-US" w:eastAsia="zh-CN" w:bidi="ar-SA"/>
        </w:rPr>
      </w:pPr>
    </w:p>
    <w:p w14:paraId="06CE7C5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both"/>
        <w:textAlignment w:val="baseline"/>
        <w:rPr>
          <w:rFonts w:hint="default" w:ascii="Times New Roman" w:hAnsi="Times New Roman" w:eastAsia="仿宋_GB2312" w:cs="Times New Roman"/>
          <w:b w:val="0"/>
          <w:bCs w:val="0"/>
          <w:snapToGrid/>
          <w:color w:val="auto"/>
          <w:kern w:val="2"/>
          <w:sz w:val="30"/>
          <w:szCs w:val="30"/>
          <w:highlight w:val="none"/>
          <w:lang w:val="en-US" w:eastAsia="zh-CN" w:bidi="ar-SA"/>
        </w:rPr>
      </w:pPr>
    </w:p>
    <w:p w14:paraId="655DC59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both"/>
        <w:textAlignment w:val="baseline"/>
        <w:rPr>
          <w:rFonts w:hint="default" w:ascii="Times New Roman" w:hAnsi="Times New Roman" w:eastAsia="仿宋_GB2312" w:cs="Times New Roman"/>
          <w:b w:val="0"/>
          <w:bCs w:val="0"/>
          <w:snapToGrid/>
          <w:color w:val="auto"/>
          <w:kern w:val="2"/>
          <w:sz w:val="30"/>
          <w:szCs w:val="30"/>
          <w:highlight w:val="none"/>
          <w:lang w:val="en-US" w:eastAsia="zh-CN" w:bidi="ar-SA"/>
        </w:rPr>
      </w:pPr>
    </w:p>
    <w:p w14:paraId="3735425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both"/>
        <w:textAlignment w:val="baseline"/>
        <w:rPr>
          <w:rFonts w:hint="default" w:ascii="Times New Roman" w:hAnsi="Times New Roman" w:eastAsia="仿宋_GB2312" w:cs="Times New Roman"/>
          <w:b w:val="0"/>
          <w:bCs w:val="0"/>
          <w:snapToGrid/>
          <w:color w:val="auto"/>
          <w:kern w:val="2"/>
          <w:sz w:val="30"/>
          <w:szCs w:val="30"/>
          <w:highlight w:val="none"/>
          <w:lang w:val="en-US" w:eastAsia="zh-CN" w:bidi="ar-SA"/>
        </w:rPr>
        <w:sectPr>
          <w:footerReference r:id="rId8" w:type="default"/>
          <w:pgSz w:w="11906" w:h="16838"/>
          <w:pgMar w:top="1440" w:right="1800" w:bottom="1440" w:left="1800" w:header="851" w:footer="992" w:gutter="0"/>
          <w:pgNumType w:fmt="decimal" w:start="1"/>
          <w:cols w:space="425" w:num="1"/>
          <w:docGrid w:type="lines" w:linePitch="312" w:charSpace="0"/>
        </w:sectPr>
      </w:pPr>
    </w:p>
    <w:p w14:paraId="52A4BC64">
      <w:pPr>
        <w:pStyle w:val="7"/>
        <w:pageBreakBefore w:val="0"/>
        <w:widowControl/>
        <w:kinsoku/>
        <w:wordWrap/>
        <w:overflowPunct/>
        <w:topLinePunct w:val="0"/>
        <w:autoSpaceDE w:val="0"/>
        <w:autoSpaceDN w:val="0"/>
        <w:bidi w:val="0"/>
        <w:adjustRightInd w:val="0"/>
        <w:snapToGrid w:val="0"/>
        <w:spacing w:before="0" w:beforeLines="0" w:after="0" w:afterLines="0" w:line="240" w:lineRule="auto"/>
        <w:textAlignment w:val="baseline"/>
        <w:rPr>
          <w:rFonts w:hint="eastAsia" w:ascii="黑体" w:hAnsi="黑体" w:cs="黑体"/>
          <w:color w:val="auto"/>
          <w:szCs w:val="21"/>
          <w:highlight w:val="none"/>
          <w:lang w:eastAsia="zh-CN"/>
        </w:rPr>
      </w:pPr>
      <w:r>
        <w:rPr>
          <w:rFonts w:hint="eastAsia" w:ascii="黑体" w:hAnsi="黑体" w:cs="黑体"/>
          <w:color w:val="auto"/>
          <w:szCs w:val="21"/>
          <w:highlight w:val="none"/>
          <w:lang w:val="en-US" w:eastAsia="zh-CN"/>
        </w:rPr>
        <w:t>表1 五常市</w:t>
      </w:r>
      <w:r>
        <w:rPr>
          <w:rFonts w:hint="eastAsia" w:ascii="黑体" w:hAnsi="黑体" w:cs="黑体"/>
          <w:color w:val="auto"/>
          <w:szCs w:val="21"/>
          <w:highlight w:val="none"/>
        </w:rPr>
        <w:t>生态文明建设示范区规划指标体系</w:t>
      </w:r>
    </w:p>
    <w:tbl>
      <w:tblPr>
        <w:tblStyle w:val="27"/>
        <w:tblW w:w="47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1"/>
        <w:gridCol w:w="1721"/>
        <w:gridCol w:w="748"/>
        <w:gridCol w:w="2078"/>
        <w:gridCol w:w="901"/>
        <w:gridCol w:w="1863"/>
        <w:gridCol w:w="1860"/>
        <w:gridCol w:w="1617"/>
        <w:gridCol w:w="1614"/>
      </w:tblGrid>
      <w:tr w14:paraId="078A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restart"/>
            <w:vAlign w:val="center"/>
          </w:tcPr>
          <w:p w14:paraId="3EE666B1">
            <w:pPr>
              <w:keepNext w:val="0"/>
              <w:keepLines w:val="0"/>
              <w:pageBreakBefore w:val="0"/>
              <w:widowControl/>
              <w:kinsoku w:val="0"/>
              <w:wordWrap/>
              <w:overflowPunct/>
              <w:topLinePunct w:val="0"/>
              <w:autoSpaceDE w:val="0"/>
              <w:autoSpaceDN w:val="0"/>
              <w:bidi w:val="0"/>
              <w:adjustRightInd w:val="0"/>
              <w:snapToGrid w:val="0"/>
              <w:spacing w:line="240" w:lineRule="auto"/>
              <w:ind w:left="103"/>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pacing w:val="6"/>
                <w:sz w:val="21"/>
                <w:szCs w:val="21"/>
              </w:rPr>
              <w:t>领域</w:t>
            </w:r>
          </w:p>
        </w:tc>
        <w:tc>
          <w:tcPr>
            <w:tcW w:w="642" w:type="pct"/>
            <w:vMerge w:val="restart"/>
            <w:vAlign w:val="center"/>
          </w:tcPr>
          <w:p w14:paraId="4D3923B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pacing w:val="5"/>
                <w:sz w:val="21"/>
                <w:szCs w:val="21"/>
              </w:rPr>
              <w:t>任务</w:t>
            </w:r>
          </w:p>
        </w:tc>
        <w:tc>
          <w:tcPr>
            <w:tcW w:w="279" w:type="pct"/>
            <w:vMerge w:val="restart"/>
            <w:vAlign w:val="center"/>
          </w:tcPr>
          <w:p w14:paraId="7FD53B56">
            <w:pPr>
              <w:keepNext w:val="0"/>
              <w:keepLines w:val="0"/>
              <w:pageBreakBefore w:val="0"/>
              <w:widowControl/>
              <w:kinsoku w:val="0"/>
              <w:wordWrap/>
              <w:overflowPunct/>
              <w:topLinePunct w:val="0"/>
              <w:autoSpaceDE w:val="0"/>
              <w:autoSpaceDN w:val="0"/>
              <w:bidi w:val="0"/>
              <w:adjustRightInd w:val="0"/>
              <w:snapToGrid w:val="0"/>
              <w:spacing w:line="240" w:lineRule="auto"/>
              <w:ind w:left="103"/>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pacing w:val="5"/>
                <w:sz w:val="21"/>
                <w:szCs w:val="21"/>
              </w:rPr>
              <w:t>序号</w:t>
            </w:r>
          </w:p>
        </w:tc>
        <w:tc>
          <w:tcPr>
            <w:tcW w:w="775" w:type="pct"/>
            <w:vMerge w:val="restart"/>
            <w:vAlign w:val="center"/>
          </w:tcPr>
          <w:p w14:paraId="1124DEC2">
            <w:pPr>
              <w:keepNext w:val="0"/>
              <w:keepLines w:val="0"/>
              <w:pageBreakBefore w:val="0"/>
              <w:widowControl/>
              <w:kinsoku w:val="0"/>
              <w:wordWrap/>
              <w:overflowPunct/>
              <w:topLinePunct w:val="0"/>
              <w:autoSpaceDE w:val="0"/>
              <w:autoSpaceDN w:val="0"/>
              <w:bidi w:val="0"/>
              <w:adjustRightInd w:val="0"/>
              <w:snapToGrid w:val="0"/>
              <w:spacing w:line="240" w:lineRule="auto"/>
              <w:ind w:left="209" w:leftChars="0" w:hanging="209" w:hangingChars="98"/>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pacing w:val="1"/>
                <w:sz w:val="21"/>
                <w:szCs w:val="21"/>
              </w:rPr>
              <w:t>指标名称</w:t>
            </w:r>
          </w:p>
        </w:tc>
        <w:tc>
          <w:tcPr>
            <w:tcW w:w="336" w:type="pct"/>
            <w:vMerge w:val="restart"/>
            <w:vAlign w:val="center"/>
          </w:tcPr>
          <w:p w14:paraId="1E9EB646">
            <w:pPr>
              <w:keepNext w:val="0"/>
              <w:keepLines w:val="0"/>
              <w:pageBreakBefore w:val="0"/>
              <w:widowControl/>
              <w:kinsoku w:val="0"/>
              <w:wordWrap/>
              <w:overflowPunct/>
              <w:topLinePunct w:val="0"/>
              <w:autoSpaceDE w:val="0"/>
              <w:autoSpaceDN w:val="0"/>
              <w:bidi w:val="0"/>
              <w:adjustRightInd w:val="0"/>
              <w:snapToGrid w:val="0"/>
              <w:spacing w:line="240" w:lineRule="auto"/>
              <w:ind w:left="191" w:leftChars="0" w:hanging="191" w:hangingChars="89"/>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pacing w:val="2"/>
                <w:sz w:val="21"/>
                <w:szCs w:val="21"/>
              </w:rPr>
              <w:t>单位</w:t>
            </w:r>
          </w:p>
        </w:tc>
        <w:tc>
          <w:tcPr>
            <w:tcW w:w="695" w:type="pct"/>
            <w:vMerge w:val="restart"/>
            <w:vAlign w:val="center"/>
          </w:tcPr>
          <w:p w14:paraId="3B383BB1">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pacing w:val="7"/>
                <w:sz w:val="21"/>
                <w:szCs w:val="21"/>
              </w:rPr>
              <w:t>指标值</w:t>
            </w:r>
          </w:p>
        </w:tc>
        <w:tc>
          <w:tcPr>
            <w:tcW w:w="694" w:type="pct"/>
            <w:vMerge w:val="restart"/>
            <w:vAlign w:val="center"/>
          </w:tcPr>
          <w:p w14:paraId="4A0D6ED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kern w:val="0"/>
                <w:sz w:val="21"/>
                <w:szCs w:val="21"/>
                <w:lang w:val="en-US" w:eastAsia="zh-CN"/>
              </w:rPr>
            </w:pPr>
            <w:r>
              <w:rPr>
                <w:rFonts w:hint="eastAsia" w:ascii="仿宋_GB2312" w:hAnsi="仿宋_GB2312" w:eastAsia="仿宋_GB2312" w:cs="仿宋_GB2312"/>
                <w:b/>
                <w:bCs/>
                <w:kern w:val="0"/>
                <w:sz w:val="21"/>
                <w:szCs w:val="21"/>
                <w:lang w:val="en-US" w:eastAsia="zh-CN"/>
              </w:rPr>
              <w:t>现状值</w:t>
            </w:r>
          </w:p>
          <w:p w14:paraId="56D0565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kern w:val="0"/>
                <w:sz w:val="21"/>
                <w:szCs w:val="21"/>
                <w:lang w:eastAsia="zh-CN"/>
              </w:rPr>
            </w:pPr>
            <w:r>
              <w:rPr>
                <w:rFonts w:hint="eastAsia" w:ascii="仿宋_GB2312" w:hAnsi="仿宋_GB2312" w:eastAsia="仿宋_GB2312" w:cs="仿宋_GB2312"/>
                <w:b/>
                <w:bCs/>
                <w:kern w:val="0"/>
                <w:sz w:val="21"/>
                <w:szCs w:val="21"/>
              </w:rPr>
              <w:t>202</w:t>
            </w:r>
            <w:r>
              <w:rPr>
                <w:rFonts w:hint="eastAsia" w:ascii="仿宋_GB2312" w:hAnsi="仿宋_GB2312" w:eastAsia="仿宋_GB2312" w:cs="仿宋_GB2312"/>
                <w:b/>
                <w:bCs/>
                <w:kern w:val="0"/>
                <w:sz w:val="21"/>
                <w:szCs w:val="21"/>
                <w:lang w:val="en-US" w:eastAsia="zh-CN"/>
              </w:rPr>
              <w:t>3</w:t>
            </w:r>
            <w:r>
              <w:rPr>
                <w:rFonts w:hint="eastAsia" w:ascii="仿宋_GB2312" w:hAnsi="仿宋_GB2312" w:eastAsia="仿宋_GB2312" w:cs="仿宋_GB2312"/>
                <w:b/>
                <w:bCs/>
                <w:kern w:val="0"/>
                <w:sz w:val="21"/>
                <w:szCs w:val="21"/>
              </w:rPr>
              <w:t>年</w:t>
            </w:r>
          </w:p>
        </w:tc>
        <w:tc>
          <w:tcPr>
            <w:tcW w:w="1205" w:type="pct"/>
            <w:gridSpan w:val="2"/>
            <w:vAlign w:val="center"/>
          </w:tcPr>
          <w:p w14:paraId="643A5390">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pacing w:val="7"/>
                <w:sz w:val="21"/>
                <w:szCs w:val="21"/>
                <w:lang w:val="en-US" w:eastAsia="zh-CN"/>
              </w:rPr>
            </w:pPr>
            <w:r>
              <w:rPr>
                <w:rFonts w:hint="eastAsia" w:ascii="仿宋_GB2312" w:hAnsi="仿宋_GB2312" w:eastAsia="仿宋_GB2312" w:cs="仿宋_GB2312"/>
                <w:b/>
                <w:bCs/>
                <w:spacing w:val="7"/>
                <w:sz w:val="21"/>
                <w:szCs w:val="21"/>
                <w:lang w:val="en-US" w:eastAsia="zh-CN"/>
              </w:rPr>
              <w:t>目标值</w:t>
            </w:r>
          </w:p>
        </w:tc>
      </w:tr>
      <w:tr w14:paraId="2B35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center"/>
          </w:tcPr>
          <w:p w14:paraId="21F2FAD5">
            <w:pPr>
              <w:keepNext w:val="0"/>
              <w:keepLines w:val="0"/>
              <w:pageBreakBefore w:val="0"/>
              <w:widowControl/>
              <w:kinsoku w:val="0"/>
              <w:wordWrap/>
              <w:overflowPunct/>
              <w:topLinePunct w:val="0"/>
              <w:autoSpaceDE w:val="0"/>
              <w:autoSpaceDN w:val="0"/>
              <w:bidi w:val="0"/>
              <w:adjustRightInd w:val="0"/>
              <w:snapToGrid w:val="0"/>
              <w:spacing w:line="240" w:lineRule="auto"/>
              <w:ind w:left="103"/>
              <w:jc w:val="center"/>
              <w:rPr>
                <w:rFonts w:hint="eastAsia" w:ascii="仿宋_GB2312" w:hAnsi="仿宋_GB2312" w:eastAsia="仿宋_GB2312" w:cs="仿宋_GB2312"/>
                <w:b/>
                <w:bCs/>
                <w:spacing w:val="6"/>
                <w:sz w:val="21"/>
                <w:szCs w:val="21"/>
              </w:rPr>
            </w:pPr>
          </w:p>
        </w:tc>
        <w:tc>
          <w:tcPr>
            <w:tcW w:w="642" w:type="pct"/>
            <w:vMerge w:val="continue"/>
            <w:vAlign w:val="center"/>
          </w:tcPr>
          <w:p w14:paraId="396B7BB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eastAsia" w:ascii="仿宋_GB2312" w:hAnsi="仿宋_GB2312" w:eastAsia="仿宋_GB2312" w:cs="仿宋_GB2312"/>
                <w:b/>
                <w:bCs/>
                <w:spacing w:val="5"/>
                <w:sz w:val="21"/>
                <w:szCs w:val="21"/>
              </w:rPr>
            </w:pPr>
          </w:p>
        </w:tc>
        <w:tc>
          <w:tcPr>
            <w:tcW w:w="279" w:type="pct"/>
            <w:vMerge w:val="continue"/>
            <w:vAlign w:val="center"/>
          </w:tcPr>
          <w:p w14:paraId="1BC4F511">
            <w:pPr>
              <w:keepNext w:val="0"/>
              <w:keepLines w:val="0"/>
              <w:pageBreakBefore w:val="0"/>
              <w:widowControl/>
              <w:kinsoku w:val="0"/>
              <w:wordWrap/>
              <w:overflowPunct/>
              <w:topLinePunct w:val="0"/>
              <w:autoSpaceDE w:val="0"/>
              <w:autoSpaceDN w:val="0"/>
              <w:bidi w:val="0"/>
              <w:adjustRightInd w:val="0"/>
              <w:snapToGrid w:val="0"/>
              <w:spacing w:line="240" w:lineRule="auto"/>
              <w:ind w:left="103"/>
              <w:jc w:val="center"/>
              <w:rPr>
                <w:rFonts w:hint="eastAsia" w:ascii="仿宋_GB2312" w:hAnsi="仿宋_GB2312" w:eastAsia="仿宋_GB2312" w:cs="仿宋_GB2312"/>
                <w:b/>
                <w:bCs/>
                <w:spacing w:val="5"/>
                <w:sz w:val="21"/>
                <w:szCs w:val="21"/>
              </w:rPr>
            </w:pPr>
          </w:p>
        </w:tc>
        <w:tc>
          <w:tcPr>
            <w:tcW w:w="775" w:type="pct"/>
            <w:vMerge w:val="continue"/>
            <w:vAlign w:val="center"/>
          </w:tcPr>
          <w:p w14:paraId="024C1AFE">
            <w:pPr>
              <w:keepNext w:val="0"/>
              <w:keepLines w:val="0"/>
              <w:pageBreakBefore w:val="0"/>
              <w:widowControl/>
              <w:kinsoku w:val="0"/>
              <w:wordWrap/>
              <w:overflowPunct/>
              <w:topLinePunct w:val="0"/>
              <w:autoSpaceDE w:val="0"/>
              <w:autoSpaceDN w:val="0"/>
              <w:bidi w:val="0"/>
              <w:adjustRightInd w:val="0"/>
              <w:snapToGrid w:val="0"/>
              <w:spacing w:line="240" w:lineRule="auto"/>
              <w:ind w:left="1048"/>
              <w:jc w:val="center"/>
              <w:rPr>
                <w:rFonts w:hint="eastAsia" w:ascii="仿宋_GB2312" w:hAnsi="仿宋_GB2312" w:eastAsia="仿宋_GB2312" w:cs="仿宋_GB2312"/>
                <w:b/>
                <w:bCs/>
                <w:spacing w:val="1"/>
                <w:sz w:val="21"/>
                <w:szCs w:val="21"/>
              </w:rPr>
            </w:pPr>
          </w:p>
        </w:tc>
        <w:tc>
          <w:tcPr>
            <w:tcW w:w="336" w:type="pct"/>
            <w:vMerge w:val="continue"/>
            <w:vAlign w:val="center"/>
          </w:tcPr>
          <w:p w14:paraId="317FE88E">
            <w:pPr>
              <w:keepNext w:val="0"/>
              <w:keepLines w:val="0"/>
              <w:pageBreakBefore w:val="0"/>
              <w:widowControl/>
              <w:kinsoku w:val="0"/>
              <w:wordWrap/>
              <w:overflowPunct/>
              <w:topLinePunct w:val="0"/>
              <w:autoSpaceDE w:val="0"/>
              <w:autoSpaceDN w:val="0"/>
              <w:bidi w:val="0"/>
              <w:adjustRightInd w:val="0"/>
              <w:snapToGrid w:val="0"/>
              <w:spacing w:line="240" w:lineRule="auto"/>
              <w:ind w:left="191"/>
              <w:jc w:val="center"/>
              <w:rPr>
                <w:rFonts w:hint="eastAsia" w:ascii="仿宋_GB2312" w:hAnsi="仿宋_GB2312" w:eastAsia="仿宋_GB2312" w:cs="仿宋_GB2312"/>
                <w:b/>
                <w:bCs/>
                <w:spacing w:val="2"/>
                <w:sz w:val="21"/>
                <w:szCs w:val="21"/>
              </w:rPr>
            </w:pPr>
          </w:p>
        </w:tc>
        <w:tc>
          <w:tcPr>
            <w:tcW w:w="695" w:type="pct"/>
            <w:vMerge w:val="continue"/>
            <w:vAlign w:val="center"/>
          </w:tcPr>
          <w:p w14:paraId="4FCEC098">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pacing w:val="7"/>
                <w:sz w:val="21"/>
                <w:szCs w:val="21"/>
              </w:rPr>
            </w:pPr>
          </w:p>
        </w:tc>
        <w:tc>
          <w:tcPr>
            <w:tcW w:w="694" w:type="pct"/>
            <w:vMerge w:val="continue"/>
            <w:vAlign w:val="center"/>
          </w:tcPr>
          <w:p w14:paraId="01DBF203">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kern w:val="0"/>
                <w:sz w:val="21"/>
                <w:szCs w:val="21"/>
              </w:rPr>
            </w:pPr>
          </w:p>
        </w:tc>
        <w:tc>
          <w:tcPr>
            <w:tcW w:w="603" w:type="pct"/>
            <w:vAlign w:val="center"/>
          </w:tcPr>
          <w:p w14:paraId="65E028AF">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pacing w:val="7"/>
                <w:sz w:val="21"/>
                <w:szCs w:val="21"/>
                <w:lang w:val="en-US" w:eastAsia="zh-CN"/>
              </w:rPr>
            </w:pPr>
            <w:r>
              <w:rPr>
                <w:rFonts w:hint="eastAsia" w:ascii="仿宋_GB2312" w:hAnsi="仿宋_GB2312" w:eastAsia="仿宋_GB2312" w:cs="仿宋_GB2312"/>
                <w:b/>
                <w:bCs/>
                <w:spacing w:val="7"/>
                <w:sz w:val="21"/>
                <w:szCs w:val="21"/>
                <w:lang w:val="en-US" w:eastAsia="zh-CN"/>
              </w:rPr>
              <w:t>2025年</w:t>
            </w:r>
          </w:p>
        </w:tc>
        <w:tc>
          <w:tcPr>
            <w:tcW w:w="602" w:type="pct"/>
            <w:vAlign w:val="top"/>
          </w:tcPr>
          <w:p w14:paraId="08807A3C">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pacing w:val="7"/>
                <w:sz w:val="21"/>
                <w:szCs w:val="21"/>
                <w:lang w:val="en-US" w:eastAsia="zh-CN"/>
              </w:rPr>
            </w:pPr>
            <w:r>
              <w:rPr>
                <w:rFonts w:hint="eastAsia" w:ascii="仿宋_GB2312" w:hAnsi="仿宋_GB2312" w:eastAsia="仿宋_GB2312" w:cs="仿宋_GB2312"/>
                <w:b/>
                <w:bCs/>
                <w:spacing w:val="7"/>
                <w:sz w:val="21"/>
                <w:szCs w:val="21"/>
                <w:lang w:val="en-US" w:eastAsia="zh-CN"/>
              </w:rPr>
              <w:t>2030年</w:t>
            </w:r>
          </w:p>
        </w:tc>
      </w:tr>
      <w:tr w14:paraId="5B67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restart"/>
            <w:vAlign w:val="center"/>
          </w:tcPr>
          <w:p w14:paraId="1A6D26F8">
            <w:pPr>
              <w:keepNext w:val="0"/>
              <w:keepLines w:val="0"/>
              <w:pageBreakBefore w:val="0"/>
              <w:widowControl/>
              <w:kinsoku w:val="0"/>
              <w:wordWrap/>
              <w:overflowPunct/>
              <w:topLinePunct w:val="0"/>
              <w:autoSpaceDE w:val="0"/>
              <w:autoSpaceDN w:val="0"/>
              <w:bidi w:val="0"/>
              <w:adjustRightInd w:val="0"/>
              <w:snapToGrid w:val="0"/>
              <w:spacing w:line="240" w:lineRule="auto"/>
              <w:ind w:left="112" w:right="104" w:firstLine="31"/>
              <w:jc w:val="center"/>
              <w:rPr>
                <w:rFonts w:hint="eastAsia" w:ascii="仿宋_GB2312" w:hAnsi="仿宋_GB2312" w:eastAsia="仿宋_GB2312" w:cs="仿宋_GB2312"/>
                <w:b/>
                <w:bCs/>
                <w:spacing w:val="-14"/>
                <w:sz w:val="21"/>
                <w:szCs w:val="21"/>
              </w:rPr>
            </w:pPr>
            <w:r>
              <w:rPr>
                <w:rFonts w:hint="eastAsia" w:ascii="仿宋_GB2312" w:hAnsi="仿宋_GB2312" w:eastAsia="仿宋_GB2312" w:cs="仿宋_GB2312"/>
                <w:b/>
                <w:bCs/>
                <w:spacing w:val="-14"/>
                <w:sz w:val="21"/>
                <w:szCs w:val="21"/>
              </w:rPr>
              <w:t>目标</w:t>
            </w:r>
          </w:p>
          <w:p w14:paraId="6F975B65">
            <w:pPr>
              <w:keepNext w:val="0"/>
              <w:keepLines w:val="0"/>
              <w:pageBreakBefore w:val="0"/>
              <w:widowControl/>
              <w:kinsoku w:val="0"/>
              <w:wordWrap/>
              <w:overflowPunct/>
              <w:topLinePunct w:val="0"/>
              <w:autoSpaceDE w:val="0"/>
              <w:autoSpaceDN w:val="0"/>
              <w:bidi w:val="0"/>
              <w:adjustRightInd w:val="0"/>
              <w:snapToGrid w:val="0"/>
              <w:spacing w:line="240" w:lineRule="auto"/>
              <w:ind w:left="112" w:right="104" w:firstLine="31"/>
              <w:jc w:val="center"/>
              <w:rPr>
                <w:rFonts w:hint="eastAsia" w:ascii="仿宋_GB2312" w:hAnsi="仿宋_GB2312" w:eastAsia="仿宋_GB2312" w:cs="仿宋_GB2312"/>
                <w:sz w:val="21"/>
                <w:szCs w:val="21"/>
              </w:rPr>
            </w:pPr>
            <w:r>
              <w:rPr>
                <w:rFonts w:hint="eastAsia" w:ascii="仿宋_GB2312" w:hAnsi="仿宋_GB2312" w:eastAsia="仿宋_GB2312" w:cs="仿宋_GB2312"/>
                <w:b/>
                <w:bCs/>
                <w:spacing w:val="1"/>
                <w:sz w:val="21"/>
                <w:szCs w:val="21"/>
              </w:rPr>
              <w:t>责任</w:t>
            </w:r>
          </w:p>
        </w:tc>
        <w:tc>
          <w:tcPr>
            <w:tcW w:w="642" w:type="pct"/>
            <w:vMerge w:val="restart"/>
            <w:vAlign w:val="center"/>
          </w:tcPr>
          <w:p w14:paraId="62C838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630" w:firstLineChars="30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（一）</w:t>
            </w:r>
          </w:p>
          <w:p w14:paraId="43FFDDE0">
            <w:pPr>
              <w:keepNext w:val="0"/>
              <w:keepLines w:val="0"/>
              <w:pageBreakBefore w:val="0"/>
              <w:widowControl/>
              <w:kinsoku w:val="0"/>
              <w:wordWrap/>
              <w:overflowPunct/>
              <w:topLinePunct w:val="0"/>
              <w:autoSpaceDE w:val="0"/>
              <w:autoSpaceDN w:val="0"/>
              <w:bidi w:val="0"/>
              <w:adjustRightInd w:val="0"/>
              <w:snapToGrid w:val="0"/>
              <w:spacing w:line="240" w:lineRule="auto"/>
              <w:ind w:firstLine="206" w:firstLineChars="10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目标责任</w:t>
            </w:r>
            <w:r>
              <w:rPr>
                <w:rFonts w:hint="eastAsia" w:ascii="仿宋_GB2312" w:hAnsi="仿宋_GB2312" w:eastAsia="仿宋_GB2312" w:cs="仿宋_GB2312"/>
                <w:spacing w:val="4"/>
                <w:sz w:val="21"/>
                <w:szCs w:val="21"/>
              </w:rPr>
              <w:t>落实</w:t>
            </w:r>
          </w:p>
        </w:tc>
        <w:tc>
          <w:tcPr>
            <w:tcW w:w="279" w:type="pct"/>
            <w:vAlign w:val="top"/>
          </w:tcPr>
          <w:p w14:paraId="006D54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1</w:t>
            </w:r>
          </w:p>
        </w:tc>
        <w:tc>
          <w:tcPr>
            <w:tcW w:w="775" w:type="pct"/>
            <w:vAlign w:val="center"/>
          </w:tcPr>
          <w:p w14:paraId="27225B65">
            <w:pPr>
              <w:keepNext w:val="0"/>
              <w:keepLines w:val="0"/>
              <w:pageBreakBefore w:val="0"/>
              <w:widowControl/>
              <w:kinsoku w:val="0"/>
              <w:wordWrap/>
              <w:overflowPunct/>
              <w:topLinePunct w:val="0"/>
              <w:autoSpaceDE w:val="0"/>
              <w:autoSpaceDN w:val="0"/>
              <w:bidi w:val="0"/>
              <w:adjustRightInd w:val="0"/>
              <w:snapToGrid w:val="0"/>
              <w:spacing w:line="240" w:lineRule="auto"/>
              <w:ind w:left="6"/>
              <w:jc w:val="both"/>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生态文明建设工作占党政实绩考核的比例</w:t>
            </w:r>
          </w:p>
        </w:tc>
        <w:tc>
          <w:tcPr>
            <w:tcW w:w="336" w:type="pct"/>
            <w:vAlign w:val="center"/>
          </w:tcPr>
          <w:p w14:paraId="52363C8A">
            <w:pPr>
              <w:widowControl/>
              <w:spacing w:line="240" w:lineRule="auto"/>
              <w:ind w:left="0" w:leftChars="0" w:firstLine="0" w:firstLineChars="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w:t>
            </w:r>
          </w:p>
        </w:tc>
        <w:tc>
          <w:tcPr>
            <w:tcW w:w="695" w:type="pct"/>
            <w:vAlign w:val="center"/>
          </w:tcPr>
          <w:p w14:paraId="5EC8B1C8">
            <w:pPr>
              <w:widowControl/>
              <w:spacing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≥20</w:t>
            </w:r>
          </w:p>
        </w:tc>
        <w:tc>
          <w:tcPr>
            <w:tcW w:w="694" w:type="pct"/>
            <w:vAlign w:val="center"/>
          </w:tcPr>
          <w:p w14:paraId="24C18DD9">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3"/>
                <w:position w:val="1"/>
                <w:sz w:val="21"/>
                <w:szCs w:val="21"/>
                <w:highlight w:val="none"/>
                <w:lang w:val="en-US" w:eastAsia="zh-CN"/>
              </w:rPr>
            </w:pPr>
            <w:r>
              <w:rPr>
                <w:rFonts w:hint="eastAsia" w:ascii="仿宋_GB2312" w:hAnsi="仿宋_GB2312" w:eastAsia="仿宋_GB2312" w:cs="仿宋_GB2312"/>
                <w:spacing w:val="-3"/>
                <w:position w:val="1"/>
                <w:sz w:val="21"/>
                <w:szCs w:val="21"/>
                <w:highlight w:val="none"/>
              </w:rPr>
              <w:t>16.6</w:t>
            </w:r>
            <w:r>
              <w:rPr>
                <w:rFonts w:hint="eastAsia" w:ascii="仿宋_GB2312" w:hAnsi="仿宋_GB2312" w:eastAsia="仿宋_GB2312" w:cs="仿宋_GB2312"/>
                <w:spacing w:val="-3"/>
                <w:position w:val="1"/>
                <w:sz w:val="21"/>
                <w:szCs w:val="21"/>
                <w:highlight w:val="none"/>
                <w:lang w:eastAsia="zh-CN"/>
              </w:rPr>
              <w:t>；</w:t>
            </w:r>
            <w:r>
              <w:rPr>
                <w:rFonts w:hint="eastAsia" w:ascii="仿宋_GB2312" w:hAnsi="仿宋_GB2312" w:eastAsia="仿宋_GB2312" w:cs="仿宋_GB2312"/>
                <w:spacing w:val="-3"/>
                <w:position w:val="1"/>
                <w:sz w:val="21"/>
                <w:szCs w:val="21"/>
                <w:highlight w:val="none"/>
                <w:lang w:val="en-US" w:eastAsia="zh-CN"/>
              </w:rPr>
              <w:t>不达标</w:t>
            </w:r>
          </w:p>
        </w:tc>
        <w:tc>
          <w:tcPr>
            <w:tcW w:w="603" w:type="pct"/>
            <w:vAlign w:val="center"/>
          </w:tcPr>
          <w:p w14:paraId="109719AD">
            <w:pPr>
              <w:widowControl/>
              <w:spacing w:line="240" w:lineRule="auto"/>
              <w:ind w:firstLine="0" w:firstLineChars="0"/>
              <w:jc w:val="center"/>
              <w:rPr>
                <w:rFonts w:hint="eastAsia" w:ascii="仿宋_GB2312" w:hAnsi="仿宋_GB2312" w:eastAsia="仿宋_GB2312" w:cs="仿宋_GB2312"/>
                <w:spacing w:val="-3"/>
                <w:position w:val="1"/>
                <w:sz w:val="21"/>
                <w:szCs w:val="21"/>
                <w:highlight w:val="none"/>
                <w:lang w:eastAsia="zh-CN"/>
              </w:rPr>
            </w:pPr>
            <w:r>
              <w:rPr>
                <w:rFonts w:hint="eastAsia" w:ascii="仿宋_GB2312" w:hAnsi="仿宋_GB2312" w:eastAsia="仿宋_GB2312" w:cs="仿宋_GB2312"/>
                <w:kern w:val="0"/>
                <w:sz w:val="21"/>
                <w:szCs w:val="21"/>
                <w:highlight w:val="none"/>
              </w:rPr>
              <w:t>≥2</w:t>
            </w:r>
            <w:r>
              <w:rPr>
                <w:rFonts w:hint="eastAsia" w:ascii="仿宋_GB2312" w:hAnsi="仿宋_GB2312" w:eastAsia="仿宋_GB2312" w:cs="仿宋_GB2312"/>
                <w:kern w:val="0"/>
                <w:sz w:val="21"/>
                <w:szCs w:val="21"/>
                <w:highlight w:val="none"/>
                <w:lang w:val="en-US" w:eastAsia="zh-CN"/>
              </w:rPr>
              <w:t>0</w:t>
            </w:r>
          </w:p>
        </w:tc>
        <w:tc>
          <w:tcPr>
            <w:tcW w:w="602" w:type="pct"/>
            <w:vAlign w:val="center"/>
          </w:tcPr>
          <w:p w14:paraId="0DF8CD37">
            <w:pPr>
              <w:widowControl/>
              <w:spacing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r>
              <w:rPr>
                <w:rFonts w:hint="eastAsia" w:ascii="仿宋_GB2312" w:hAnsi="仿宋_GB2312" w:eastAsia="仿宋_GB2312" w:cs="仿宋_GB2312"/>
                <w:kern w:val="0"/>
                <w:sz w:val="21"/>
                <w:szCs w:val="21"/>
                <w:highlight w:val="none"/>
                <w:lang w:val="en-US" w:eastAsia="zh-CN"/>
              </w:rPr>
              <w:t>2</w:t>
            </w:r>
          </w:p>
        </w:tc>
      </w:tr>
      <w:tr w14:paraId="7521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2FA763D8">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57D2D6DE">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Align w:val="top"/>
          </w:tcPr>
          <w:p w14:paraId="6348BF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775" w:type="pct"/>
            <w:vAlign w:val="center"/>
          </w:tcPr>
          <w:p w14:paraId="308A4740">
            <w:pPr>
              <w:keepNext w:val="0"/>
              <w:keepLines w:val="0"/>
              <w:pageBreakBefore w:val="0"/>
              <w:widowControl/>
              <w:kinsoku w:val="0"/>
              <w:wordWrap/>
              <w:overflowPunct/>
              <w:topLinePunct w:val="0"/>
              <w:autoSpaceDE w:val="0"/>
              <w:autoSpaceDN w:val="0"/>
              <w:bidi w:val="0"/>
              <w:adjustRightInd w:val="0"/>
              <w:snapToGrid w:val="0"/>
              <w:spacing w:line="240" w:lineRule="auto"/>
              <w:ind w:left="5"/>
              <w:jc w:val="both"/>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党政领导干部生态环境损害责任追究制度</w:t>
            </w:r>
          </w:p>
        </w:tc>
        <w:tc>
          <w:tcPr>
            <w:tcW w:w="336" w:type="pct"/>
            <w:vAlign w:val="center"/>
          </w:tcPr>
          <w:p w14:paraId="297088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3"/>
                <w:sz w:val="21"/>
                <w:szCs w:val="21"/>
              </w:rPr>
              <w:t>-</w:t>
            </w:r>
          </w:p>
        </w:tc>
        <w:tc>
          <w:tcPr>
            <w:tcW w:w="695" w:type="pct"/>
            <w:vAlign w:val="center"/>
          </w:tcPr>
          <w:p w14:paraId="5B62BE7F">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建立</w:t>
            </w:r>
          </w:p>
        </w:tc>
        <w:tc>
          <w:tcPr>
            <w:tcW w:w="694" w:type="pct"/>
            <w:vAlign w:val="center"/>
          </w:tcPr>
          <w:p w14:paraId="6E499615">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建立</w:t>
            </w:r>
          </w:p>
        </w:tc>
        <w:tc>
          <w:tcPr>
            <w:tcW w:w="603" w:type="pct"/>
            <w:vAlign w:val="center"/>
          </w:tcPr>
          <w:p w14:paraId="761F8E78">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建立</w:t>
            </w:r>
          </w:p>
        </w:tc>
        <w:tc>
          <w:tcPr>
            <w:tcW w:w="602" w:type="pct"/>
            <w:vAlign w:val="center"/>
          </w:tcPr>
          <w:p w14:paraId="7ABFA846">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建立</w:t>
            </w:r>
          </w:p>
        </w:tc>
      </w:tr>
      <w:tr w14:paraId="5039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718B1D4A">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67BDE565">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Align w:val="top"/>
          </w:tcPr>
          <w:p w14:paraId="319F8C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w:t>
            </w:r>
          </w:p>
        </w:tc>
        <w:tc>
          <w:tcPr>
            <w:tcW w:w="775" w:type="pct"/>
            <w:vAlign w:val="center"/>
          </w:tcPr>
          <w:p w14:paraId="2B805BAC">
            <w:pPr>
              <w:keepNext w:val="0"/>
              <w:keepLines w:val="0"/>
              <w:pageBreakBefore w:val="0"/>
              <w:widowControl/>
              <w:kinsoku w:val="0"/>
              <w:wordWrap/>
              <w:overflowPunct/>
              <w:topLinePunct w:val="0"/>
              <w:autoSpaceDE w:val="0"/>
              <w:autoSpaceDN w:val="0"/>
              <w:bidi w:val="0"/>
              <w:adjustRightInd w:val="0"/>
              <w:snapToGrid w:val="0"/>
              <w:spacing w:line="240" w:lineRule="auto"/>
              <w:ind w:left="5"/>
              <w:jc w:val="both"/>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领导干部自然资源资产离任审计</w:t>
            </w:r>
          </w:p>
        </w:tc>
        <w:tc>
          <w:tcPr>
            <w:tcW w:w="336" w:type="pct"/>
            <w:vAlign w:val="center"/>
          </w:tcPr>
          <w:p w14:paraId="5B9C6D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3"/>
                <w:sz w:val="21"/>
                <w:szCs w:val="21"/>
              </w:rPr>
              <w:t>-</w:t>
            </w:r>
          </w:p>
        </w:tc>
        <w:tc>
          <w:tcPr>
            <w:tcW w:w="695" w:type="pct"/>
            <w:vAlign w:val="center"/>
          </w:tcPr>
          <w:p w14:paraId="774C80F0">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开展</w:t>
            </w:r>
          </w:p>
        </w:tc>
        <w:tc>
          <w:tcPr>
            <w:tcW w:w="694" w:type="pct"/>
            <w:vAlign w:val="center"/>
          </w:tcPr>
          <w:p w14:paraId="56953D09">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开展</w:t>
            </w:r>
          </w:p>
        </w:tc>
        <w:tc>
          <w:tcPr>
            <w:tcW w:w="603" w:type="pct"/>
            <w:vAlign w:val="center"/>
          </w:tcPr>
          <w:p w14:paraId="3C534E5C">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开展</w:t>
            </w:r>
          </w:p>
        </w:tc>
        <w:tc>
          <w:tcPr>
            <w:tcW w:w="602" w:type="pct"/>
            <w:vAlign w:val="center"/>
          </w:tcPr>
          <w:p w14:paraId="54B918E4">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开展</w:t>
            </w:r>
          </w:p>
        </w:tc>
      </w:tr>
      <w:tr w14:paraId="4B06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restart"/>
            <w:vAlign w:val="top"/>
          </w:tcPr>
          <w:p w14:paraId="06D71968">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171A5FFF">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41CE3712">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739D4C1B">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7C05B768">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15007236">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1E7A4350">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02050946">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24296EEA">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37516255">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08ACEDBE">
            <w:pPr>
              <w:keepNext w:val="0"/>
              <w:keepLines w:val="0"/>
              <w:pageBreakBefore w:val="0"/>
              <w:widowControl/>
              <w:kinsoku w:val="0"/>
              <w:wordWrap/>
              <w:overflowPunct/>
              <w:topLinePunct w:val="0"/>
              <w:autoSpaceDE w:val="0"/>
              <w:autoSpaceDN w:val="0"/>
              <w:bidi w:val="0"/>
              <w:adjustRightInd w:val="0"/>
              <w:snapToGrid w:val="0"/>
              <w:spacing w:line="240" w:lineRule="auto"/>
              <w:ind w:left="109" w:right="104" w:hanging="2"/>
              <w:jc w:val="center"/>
              <w:rPr>
                <w:rFonts w:hint="eastAsia" w:ascii="仿宋_GB2312" w:hAnsi="仿宋_GB2312" w:eastAsia="仿宋_GB2312" w:cs="仿宋_GB2312"/>
                <w:b/>
                <w:bCs/>
                <w:spacing w:val="4"/>
                <w:sz w:val="21"/>
                <w:szCs w:val="21"/>
              </w:rPr>
            </w:pPr>
            <w:r>
              <w:rPr>
                <w:rFonts w:hint="eastAsia" w:ascii="仿宋_GB2312" w:hAnsi="仿宋_GB2312" w:eastAsia="仿宋_GB2312" w:cs="仿宋_GB2312"/>
                <w:b/>
                <w:bCs/>
                <w:spacing w:val="4"/>
                <w:sz w:val="21"/>
                <w:szCs w:val="21"/>
              </w:rPr>
              <w:t>生态</w:t>
            </w:r>
          </w:p>
          <w:p w14:paraId="26AC0A28">
            <w:pPr>
              <w:keepNext w:val="0"/>
              <w:keepLines w:val="0"/>
              <w:pageBreakBefore w:val="0"/>
              <w:widowControl/>
              <w:kinsoku w:val="0"/>
              <w:wordWrap/>
              <w:overflowPunct/>
              <w:topLinePunct w:val="0"/>
              <w:autoSpaceDE w:val="0"/>
              <w:autoSpaceDN w:val="0"/>
              <w:bidi w:val="0"/>
              <w:adjustRightInd w:val="0"/>
              <w:snapToGrid w:val="0"/>
              <w:spacing w:line="240" w:lineRule="auto"/>
              <w:ind w:left="109" w:right="104" w:hanging="2"/>
              <w:jc w:val="center"/>
              <w:rPr>
                <w:rFonts w:hint="eastAsia" w:ascii="仿宋_GB2312" w:hAnsi="仿宋_GB2312" w:eastAsia="仿宋_GB2312" w:cs="仿宋_GB2312"/>
                <w:sz w:val="21"/>
                <w:szCs w:val="21"/>
              </w:rPr>
            </w:pPr>
            <w:r>
              <w:rPr>
                <w:rFonts w:hint="eastAsia" w:ascii="仿宋_GB2312" w:hAnsi="仿宋_GB2312" w:eastAsia="仿宋_GB2312" w:cs="仿宋_GB2312"/>
                <w:b/>
                <w:bCs/>
                <w:spacing w:val="3"/>
                <w:sz w:val="21"/>
                <w:szCs w:val="21"/>
              </w:rPr>
              <w:t>安全</w:t>
            </w:r>
          </w:p>
        </w:tc>
        <w:tc>
          <w:tcPr>
            <w:tcW w:w="642" w:type="pct"/>
            <w:vMerge w:val="restart"/>
            <w:vAlign w:val="top"/>
          </w:tcPr>
          <w:p w14:paraId="04B3DBC3">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503E2BF2">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2A4CBBDE">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3DC73AF9">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7AD1DFDF">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7645923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638" w:firstLineChars="304"/>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（二）</w:t>
            </w:r>
          </w:p>
          <w:p w14:paraId="3AD0C4D5">
            <w:pPr>
              <w:keepNext w:val="0"/>
              <w:keepLines w:val="0"/>
              <w:pageBreakBefore w:val="0"/>
              <w:widowControl/>
              <w:kinsoku w:val="0"/>
              <w:wordWrap/>
              <w:overflowPunct/>
              <w:topLinePunct w:val="0"/>
              <w:autoSpaceDE w:val="0"/>
              <w:autoSpaceDN w:val="0"/>
              <w:bidi w:val="0"/>
              <w:adjustRightInd w:val="0"/>
              <w:snapToGrid w:val="0"/>
              <w:spacing w:line="240" w:lineRule="auto"/>
              <w:ind w:left="218" w:leftChars="104" w:firstLine="0" w:firstLineChars="0"/>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环境质量</w:t>
            </w:r>
            <w:r>
              <w:rPr>
                <w:rFonts w:hint="eastAsia" w:ascii="仿宋_GB2312" w:hAnsi="仿宋_GB2312" w:eastAsia="仿宋_GB2312" w:cs="仿宋_GB2312"/>
                <w:spacing w:val="1"/>
                <w:sz w:val="21"/>
                <w:szCs w:val="21"/>
              </w:rPr>
              <w:t>改善</w:t>
            </w:r>
          </w:p>
        </w:tc>
        <w:tc>
          <w:tcPr>
            <w:tcW w:w="279" w:type="pct"/>
            <w:vAlign w:val="top"/>
          </w:tcPr>
          <w:p w14:paraId="04BF28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both"/>
              <w:rPr>
                <w:rFonts w:hint="eastAsia" w:ascii="仿宋_GB2312" w:hAnsi="仿宋_GB2312" w:eastAsia="仿宋_GB2312" w:cs="仿宋_GB2312"/>
                <w:spacing w:val="3"/>
                <w:position w:val="-2"/>
                <w:sz w:val="21"/>
                <w:szCs w:val="21"/>
              </w:rPr>
            </w:pPr>
          </w:p>
          <w:p w14:paraId="6368AA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position w:val="-2"/>
                <w:sz w:val="21"/>
                <w:szCs w:val="21"/>
              </w:rPr>
              <w:t>4</w:t>
            </w:r>
          </w:p>
        </w:tc>
        <w:tc>
          <w:tcPr>
            <w:tcW w:w="775" w:type="pct"/>
            <w:vAlign w:val="center"/>
          </w:tcPr>
          <w:p w14:paraId="23E2E371">
            <w:pPr>
              <w:keepNext w:val="0"/>
              <w:keepLines w:val="0"/>
              <w:pageBreakBefore w:val="0"/>
              <w:widowControl/>
              <w:kinsoku w:val="0"/>
              <w:wordWrap/>
              <w:overflowPunct/>
              <w:topLinePunct w:val="0"/>
              <w:autoSpaceDE w:val="0"/>
              <w:autoSpaceDN w:val="0"/>
              <w:bidi w:val="0"/>
              <w:adjustRightInd w:val="0"/>
              <w:snapToGrid w:val="0"/>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PM</w:t>
            </w:r>
            <w:r>
              <w:rPr>
                <w:rFonts w:hint="eastAsia" w:ascii="仿宋_GB2312" w:hAnsi="仿宋_GB2312" w:eastAsia="仿宋_GB2312" w:cs="仿宋_GB2312"/>
                <w:spacing w:val="3"/>
                <w:position w:val="-2"/>
                <w:sz w:val="21"/>
                <w:szCs w:val="21"/>
              </w:rPr>
              <w:t>2.5</w:t>
            </w:r>
            <w:r>
              <w:rPr>
                <w:rFonts w:hint="eastAsia" w:ascii="仿宋_GB2312" w:hAnsi="仿宋_GB2312" w:eastAsia="仿宋_GB2312" w:cs="仿宋_GB2312"/>
                <w:spacing w:val="3"/>
                <w:sz w:val="21"/>
                <w:szCs w:val="21"/>
              </w:rPr>
              <w:t>浓度</w:t>
            </w:r>
          </w:p>
        </w:tc>
        <w:tc>
          <w:tcPr>
            <w:tcW w:w="336" w:type="pct"/>
            <w:vAlign w:val="center"/>
          </w:tcPr>
          <w:p w14:paraId="64C13E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μg/m</w:t>
            </w:r>
            <w:r>
              <w:rPr>
                <w:rFonts w:hint="eastAsia" w:ascii="仿宋_GB2312" w:hAnsi="仿宋_GB2312" w:eastAsia="仿宋_GB2312" w:cs="仿宋_GB2312"/>
                <w:position w:val="9"/>
                <w:sz w:val="21"/>
                <w:szCs w:val="21"/>
                <w:vertAlign w:val="superscript"/>
              </w:rPr>
              <w:t>3</w:t>
            </w:r>
          </w:p>
        </w:tc>
        <w:tc>
          <w:tcPr>
            <w:tcW w:w="695" w:type="pct"/>
            <w:vAlign w:val="center"/>
          </w:tcPr>
          <w:p w14:paraId="19DDDE27">
            <w:pPr>
              <w:keepNext w:val="0"/>
              <w:keepLines w:val="0"/>
              <w:pageBreakBefore w:val="0"/>
              <w:widowControl/>
              <w:kinsoku w:val="0"/>
              <w:wordWrap/>
              <w:overflowPunct/>
              <w:topLinePunct w:val="0"/>
              <w:autoSpaceDE w:val="0"/>
              <w:autoSpaceDN w:val="0"/>
              <w:bidi w:val="0"/>
              <w:adjustRightInd w:val="0"/>
              <w:snapToGrid w:val="0"/>
              <w:spacing w:line="240" w:lineRule="auto"/>
              <w:ind w:left="72"/>
              <w:jc w:val="both"/>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完成上级规定的考核</w:t>
            </w:r>
            <w:r>
              <w:rPr>
                <w:rFonts w:hint="eastAsia" w:ascii="仿宋_GB2312" w:hAnsi="仿宋_GB2312" w:eastAsia="仿宋_GB2312" w:cs="仿宋_GB2312"/>
                <w:sz w:val="21"/>
                <w:szCs w:val="21"/>
                <w:highlight w:val="none"/>
              </w:rPr>
              <w:t>任务，且保持稳定或持</w:t>
            </w:r>
            <w:r>
              <w:rPr>
                <w:rFonts w:hint="eastAsia" w:ascii="仿宋_GB2312" w:hAnsi="仿宋_GB2312" w:eastAsia="仿宋_GB2312" w:cs="仿宋_GB2312"/>
                <w:spacing w:val="6"/>
                <w:sz w:val="21"/>
                <w:szCs w:val="21"/>
                <w:highlight w:val="none"/>
              </w:rPr>
              <w:t>续下降</w:t>
            </w:r>
          </w:p>
        </w:tc>
        <w:tc>
          <w:tcPr>
            <w:tcW w:w="694" w:type="pct"/>
            <w:vAlign w:val="center"/>
          </w:tcPr>
          <w:p w14:paraId="326C0C8B">
            <w:pPr>
              <w:keepNext w:val="0"/>
              <w:keepLines w:val="0"/>
              <w:pageBreakBefore w:val="0"/>
              <w:widowControl/>
              <w:kinsoku w:val="0"/>
              <w:wordWrap/>
              <w:overflowPunct/>
              <w:topLinePunct w:val="0"/>
              <w:autoSpaceDE w:val="0"/>
              <w:autoSpaceDN w:val="0"/>
              <w:bidi w:val="0"/>
              <w:adjustRightInd w:val="0"/>
              <w:snapToGrid w:val="0"/>
              <w:spacing w:line="240" w:lineRule="auto"/>
              <w:ind w:left="72"/>
              <w:jc w:val="both"/>
              <w:rPr>
                <w:rFonts w:hint="default" w:ascii="仿宋_GB2312" w:hAnsi="仿宋_GB2312" w:eastAsia="仿宋_GB2312" w:cs="仿宋_GB2312"/>
                <w:spacing w:val="8"/>
                <w:sz w:val="21"/>
                <w:szCs w:val="21"/>
                <w:highlight w:val="none"/>
                <w:lang w:val="en-US" w:eastAsia="zh-CN"/>
              </w:rPr>
            </w:pPr>
            <w:r>
              <w:rPr>
                <w:rFonts w:hint="eastAsia" w:ascii="仿宋_GB2312" w:hAnsi="仿宋_GB2312" w:eastAsia="仿宋_GB2312" w:cs="仿宋_GB2312"/>
                <w:spacing w:val="8"/>
                <w:sz w:val="21"/>
                <w:szCs w:val="21"/>
                <w:highlight w:val="none"/>
                <w:lang w:val="en-US" w:eastAsia="zh-CN"/>
              </w:rPr>
              <w:t>26，达到上级规定的国家标准，但未</w:t>
            </w:r>
            <w:r>
              <w:rPr>
                <w:rFonts w:hint="eastAsia" w:ascii="仿宋_GB2312" w:hAnsi="仿宋_GB2312" w:eastAsia="仿宋_GB2312" w:cs="仿宋_GB2312"/>
                <w:sz w:val="21"/>
                <w:szCs w:val="21"/>
                <w:highlight w:val="none"/>
              </w:rPr>
              <w:t>保持稳定或持</w:t>
            </w:r>
            <w:r>
              <w:rPr>
                <w:rFonts w:hint="eastAsia" w:ascii="仿宋_GB2312" w:hAnsi="仿宋_GB2312" w:eastAsia="仿宋_GB2312" w:cs="仿宋_GB2312"/>
                <w:spacing w:val="6"/>
                <w:sz w:val="21"/>
                <w:szCs w:val="21"/>
                <w:highlight w:val="none"/>
              </w:rPr>
              <w:t>续下降</w:t>
            </w:r>
            <w:r>
              <w:rPr>
                <w:rFonts w:hint="eastAsia" w:ascii="仿宋_GB2312" w:hAnsi="仿宋_GB2312" w:eastAsia="仿宋_GB2312" w:cs="仿宋_GB2312"/>
                <w:spacing w:val="6"/>
                <w:sz w:val="21"/>
                <w:szCs w:val="21"/>
                <w:highlight w:val="none"/>
                <w:lang w:eastAsia="zh-CN"/>
              </w:rPr>
              <w:t>，</w:t>
            </w:r>
            <w:r>
              <w:rPr>
                <w:rFonts w:hint="eastAsia" w:ascii="仿宋_GB2312" w:hAnsi="仿宋_GB2312" w:eastAsia="仿宋_GB2312" w:cs="仿宋_GB2312"/>
                <w:spacing w:val="6"/>
                <w:sz w:val="21"/>
                <w:szCs w:val="21"/>
                <w:highlight w:val="none"/>
                <w:lang w:val="en-US" w:eastAsia="zh-CN"/>
              </w:rPr>
              <w:t>不达标</w:t>
            </w:r>
          </w:p>
        </w:tc>
        <w:tc>
          <w:tcPr>
            <w:tcW w:w="603" w:type="pct"/>
            <w:vAlign w:val="center"/>
          </w:tcPr>
          <w:p w14:paraId="06E8D77A">
            <w:pPr>
              <w:keepNext w:val="0"/>
              <w:keepLines w:val="0"/>
              <w:pageBreakBefore w:val="0"/>
              <w:widowControl/>
              <w:kinsoku w:val="0"/>
              <w:wordWrap/>
              <w:overflowPunct/>
              <w:topLinePunct w:val="0"/>
              <w:autoSpaceDE w:val="0"/>
              <w:autoSpaceDN w:val="0"/>
              <w:bidi w:val="0"/>
              <w:adjustRightInd w:val="0"/>
              <w:snapToGrid w:val="0"/>
              <w:spacing w:line="240" w:lineRule="auto"/>
              <w:ind w:left="72"/>
              <w:jc w:val="both"/>
              <w:rPr>
                <w:rFonts w:hint="eastAsia" w:ascii="仿宋_GB2312" w:hAnsi="仿宋_GB2312" w:eastAsia="仿宋_GB2312" w:cs="仿宋_GB2312"/>
                <w:spacing w:val="8"/>
                <w:sz w:val="21"/>
                <w:szCs w:val="21"/>
                <w:highlight w:val="none"/>
              </w:rPr>
            </w:pPr>
            <w:r>
              <w:rPr>
                <w:rFonts w:hint="eastAsia" w:ascii="仿宋_GB2312" w:hAnsi="仿宋_GB2312" w:eastAsia="仿宋_GB2312" w:cs="仿宋_GB2312"/>
                <w:spacing w:val="8"/>
                <w:sz w:val="21"/>
                <w:szCs w:val="21"/>
                <w:highlight w:val="none"/>
                <w:lang w:val="en-US" w:eastAsia="zh-CN"/>
              </w:rPr>
              <w:t>＜26，</w:t>
            </w:r>
            <w:r>
              <w:rPr>
                <w:rFonts w:hint="eastAsia" w:ascii="仿宋_GB2312" w:hAnsi="仿宋_GB2312" w:eastAsia="仿宋_GB2312" w:cs="仿宋_GB2312"/>
                <w:spacing w:val="8"/>
                <w:sz w:val="21"/>
                <w:szCs w:val="21"/>
                <w:highlight w:val="none"/>
              </w:rPr>
              <w:t>完成上级规定的考核</w:t>
            </w:r>
            <w:r>
              <w:rPr>
                <w:rFonts w:hint="eastAsia" w:ascii="仿宋_GB2312" w:hAnsi="仿宋_GB2312" w:eastAsia="仿宋_GB2312" w:cs="仿宋_GB2312"/>
                <w:sz w:val="21"/>
                <w:szCs w:val="21"/>
                <w:highlight w:val="none"/>
              </w:rPr>
              <w:t>任务，且保持稳定或持</w:t>
            </w:r>
            <w:r>
              <w:rPr>
                <w:rFonts w:hint="eastAsia" w:ascii="仿宋_GB2312" w:hAnsi="仿宋_GB2312" w:eastAsia="仿宋_GB2312" w:cs="仿宋_GB2312"/>
                <w:spacing w:val="6"/>
                <w:sz w:val="21"/>
                <w:szCs w:val="21"/>
                <w:highlight w:val="none"/>
              </w:rPr>
              <w:t>续下降</w:t>
            </w:r>
          </w:p>
        </w:tc>
        <w:tc>
          <w:tcPr>
            <w:tcW w:w="602" w:type="pct"/>
            <w:vAlign w:val="center"/>
          </w:tcPr>
          <w:p w14:paraId="3A7A6F12">
            <w:pPr>
              <w:keepNext w:val="0"/>
              <w:keepLines w:val="0"/>
              <w:pageBreakBefore w:val="0"/>
              <w:widowControl/>
              <w:kinsoku w:val="0"/>
              <w:wordWrap/>
              <w:overflowPunct/>
              <w:topLinePunct w:val="0"/>
              <w:autoSpaceDE w:val="0"/>
              <w:autoSpaceDN w:val="0"/>
              <w:bidi w:val="0"/>
              <w:adjustRightInd w:val="0"/>
              <w:snapToGrid w:val="0"/>
              <w:spacing w:line="240" w:lineRule="auto"/>
              <w:ind w:left="72" w:leftChars="0"/>
              <w:jc w:val="both"/>
              <w:rPr>
                <w:rFonts w:hint="eastAsia" w:ascii="仿宋_GB2312" w:hAnsi="仿宋_GB2312" w:eastAsia="仿宋_GB2312" w:cs="仿宋_GB2312"/>
                <w:spacing w:val="8"/>
                <w:sz w:val="21"/>
                <w:szCs w:val="21"/>
                <w:highlight w:val="none"/>
              </w:rPr>
            </w:pPr>
            <w:r>
              <w:rPr>
                <w:rFonts w:hint="eastAsia" w:ascii="仿宋_GB2312" w:hAnsi="仿宋_GB2312" w:eastAsia="仿宋_GB2312" w:cs="仿宋_GB2312"/>
                <w:spacing w:val="8"/>
                <w:sz w:val="21"/>
                <w:szCs w:val="21"/>
                <w:highlight w:val="none"/>
                <w:lang w:val="en-US" w:eastAsia="zh-CN"/>
              </w:rPr>
              <w:t>＜25，</w:t>
            </w:r>
            <w:r>
              <w:rPr>
                <w:rFonts w:hint="eastAsia" w:ascii="仿宋_GB2312" w:hAnsi="仿宋_GB2312" w:eastAsia="仿宋_GB2312" w:cs="仿宋_GB2312"/>
                <w:spacing w:val="8"/>
                <w:sz w:val="21"/>
                <w:szCs w:val="21"/>
                <w:highlight w:val="none"/>
              </w:rPr>
              <w:t>完成上级规定的考核</w:t>
            </w:r>
            <w:r>
              <w:rPr>
                <w:rFonts w:hint="eastAsia" w:ascii="仿宋_GB2312" w:hAnsi="仿宋_GB2312" w:eastAsia="仿宋_GB2312" w:cs="仿宋_GB2312"/>
                <w:sz w:val="21"/>
                <w:szCs w:val="21"/>
                <w:highlight w:val="none"/>
              </w:rPr>
              <w:t>任务，且保持稳定或持</w:t>
            </w:r>
            <w:r>
              <w:rPr>
                <w:rFonts w:hint="eastAsia" w:ascii="仿宋_GB2312" w:hAnsi="仿宋_GB2312" w:eastAsia="仿宋_GB2312" w:cs="仿宋_GB2312"/>
                <w:spacing w:val="6"/>
                <w:sz w:val="21"/>
                <w:szCs w:val="21"/>
                <w:highlight w:val="none"/>
              </w:rPr>
              <w:t>续下降</w:t>
            </w:r>
          </w:p>
        </w:tc>
      </w:tr>
      <w:tr w14:paraId="47A0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399A8993">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72E271BD">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restart"/>
            <w:vAlign w:val="top"/>
          </w:tcPr>
          <w:p w14:paraId="07C8375D">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p w14:paraId="2A9707E3">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p w14:paraId="6FA1688E">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p w14:paraId="6777B29C">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p w14:paraId="25E26D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5</w:t>
            </w:r>
          </w:p>
        </w:tc>
        <w:tc>
          <w:tcPr>
            <w:tcW w:w="775" w:type="pct"/>
            <w:vAlign w:val="center"/>
          </w:tcPr>
          <w:p w14:paraId="7558F16E">
            <w:pPr>
              <w:keepNext w:val="0"/>
              <w:keepLines w:val="0"/>
              <w:pageBreakBefore w:val="0"/>
              <w:widowControl/>
              <w:kinsoku w:val="0"/>
              <w:wordWrap/>
              <w:overflowPunct/>
              <w:topLinePunct w:val="0"/>
              <w:autoSpaceDE w:val="0"/>
              <w:autoSpaceDN w:val="0"/>
              <w:bidi w:val="0"/>
              <w:adjustRightInd w:val="0"/>
              <w:snapToGrid w:val="0"/>
              <w:spacing w:line="240" w:lineRule="auto"/>
              <w:ind w:left="7"/>
              <w:jc w:val="both"/>
              <w:rPr>
                <w:rFonts w:hint="eastAsia" w:ascii="仿宋_GB2312" w:hAnsi="仿宋_GB2312" w:eastAsia="仿宋_GB2312" w:cs="仿宋_GB2312"/>
                <w:sz w:val="21"/>
                <w:szCs w:val="21"/>
              </w:rPr>
            </w:pPr>
            <w:r>
              <w:rPr>
                <w:rFonts w:hint="eastAsia" w:ascii="仿宋_GB2312" w:hAnsi="仿宋_GB2312" w:eastAsia="仿宋_GB2312" w:cs="仿宋_GB2312"/>
                <w:b/>
                <w:bCs/>
                <w:spacing w:val="6"/>
                <w:sz w:val="21"/>
                <w:szCs w:val="21"/>
              </w:rPr>
              <w:t>水环境质量</w:t>
            </w:r>
          </w:p>
        </w:tc>
        <w:tc>
          <w:tcPr>
            <w:tcW w:w="336" w:type="pct"/>
            <w:vAlign w:val="center"/>
          </w:tcPr>
          <w:p w14:paraId="38934EA9">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695" w:type="pct"/>
            <w:vAlign w:val="center"/>
          </w:tcPr>
          <w:p w14:paraId="37A052B8">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694" w:type="pct"/>
            <w:vAlign w:val="center"/>
          </w:tcPr>
          <w:p w14:paraId="35C39233">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603" w:type="pct"/>
            <w:vAlign w:val="center"/>
          </w:tcPr>
          <w:p w14:paraId="0B7F8D04">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602" w:type="pct"/>
            <w:vAlign w:val="center"/>
          </w:tcPr>
          <w:p w14:paraId="54F7E8A0">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r>
      <w:tr w14:paraId="7457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31530AD7">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2EB46A4F">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continue"/>
            <w:vAlign w:val="top"/>
          </w:tcPr>
          <w:p w14:paraId="5C9F13BB">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775" w:type="pct"/>
            <w:vAlign w:val="center"/>
          </w:tcPr>
          <w:p w14:paraId="2BF40B52">
            <w:pPr>
              <w:keepNext w:val="0"/>
              <w:keepLines w:val="0"/>
              <w:pageBreakBefore w:val="0"/>
              <w:widowControl/>
              <w:kinsoku w:val="0"/>
              <w:wordWrap/>
              <w:overflowPunct/>
              <w:topLinePunct w:val="0"/>
              <w:autoSpaceDE w:val="0"/>
              <w:autoSpaceDN w:val="0"/>
              <w:bidi w:val="0"/>
              <w:adjustRightInd w:val="0"/>
              <w:snapToGrid w:val="0"/>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地表水达到或好于Ⅲ类水体比例</w:t>
            </w:r>
          </w:p>
        </w:tc>
        <w:tc>
          <w:tcPr>
            <w:tcW w:w="336" w:type="pct"/>
            <w:vMerge w:val="restart"/>
            <w:vAlign w:val="center"/>
          </w:tcPr>
          <w:p w14:paraId="1405C5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position w:val="1"/>
                <w:sz w:val="21"/>
                <w:szCs w:val="21"/>
              </w:rPr>
              <w:t>%</w:t>
            </w:r>
          </w:p>
        </w:tc>
        <w:tc>
          <w:tcPr>
            <w:tcW w:w="695" w:type="pct"/>
            <w:vAlign w:val="center"/>
          </w:tcPr>
          <w:p w14:paraId="3228F1B7">
            <w:pPr>
              <w:keepNext w:val="0"/>
              <w:keepLines w:val="0"/>
              <w:pageBreakBefore w:val="0"/>
              <w:widowControl/>
              <w:kinsoku w:val="0"/>
              <w:wordWrap/>
              <w:overflowPunct/>
              <w:topLinePunct w:val="0"/>
              <w:autoSpaceDE w:val="0"/>
              <w:autoSpaceDN w:val="0"/>
              <w:bidi w:val="0"/>
              <w:adjustRightInd w:val="0"/>
              <w:snapToGrid w:val="0"/>
              <w:spacing w:line="240" w:lineRule="auto"/>
              <w:ind w:left="72"/>
              <w:jc w:val="both"/>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完成上级规定的考核</w:t>
            </w:r>
            <w:r>
              <w:rPr>
                <w:rFonts w:hint="eastAsia" w:ascii="仿宋_GB2312" w:hAnsi="仿宋_GB2312" w:eastAsia="仿宋_GB2312" w:cs="仿宋_GB2312"/>
                <w:sz w:val="21"/>
                <w:szCs w:val="21"/>
              </w:rPr>
              <w:t>任务，且保持稳定或持</w:t>
            </w:r>
            <w:r>
              <w:rPr>
                <w:rFonts w:hint="eastAsia" w:ascii="仿宋_GB2312" w:hAnsi="仿宋_GB2312" w:eastAsia="仿宋_GB2312" w:cs="仿宋_GB2312"/>
                <w:spacing w:val="6"/>
                <w:sz w:val="21"/>
                <w:szCs w:val="21"/>
              </w:rPr>
              <w:t>续提高</w:t>
            </w:r>
          </w:p>
        </w:tc>
        <w:tc>
          <w:tcPr>
            <w:tcW w:w="694" w:type="pct"/>
            <w:vAlign w:val="center"/>
          </w:tcPr>
          <w:p w14:paraId="40EEBFAB">
            <w:pPr>
              <w:keepNext w:val="0"/>
              <w:keepLines w:val="0"/>
              <w:pageBreakBefore w:val="0"/>
              <w:widowControl/>
              <w:kinsoku w:val="0"/>
              <w:wordWrap/>
              <w:overflowPunct/>
              <w:topLinePunct w:val="0"/>
              <w:autoSpaceDE w:val="0"/>
              <w:autoSpaceDN w:val="0"/>
              <w:bidi w:val="0"/>
              <w:adjustRightInd w:val="0"/>
              <w:snapToGrid w:val="0"/>
              <w:spacing w:line="240" w:lineRule="auto"/>
              <w:ind w:left="72"/>
              <w:jc w:val="both"/>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8"/>
                <w:sz w:val="21"/>
                <w:szCs w:val="21"/>
              </w:rPr>
              <w:t>3个国控断面地表水水质达到Ⅲ类水体比例100%，完成上级规定的考核任务，且保持稳定</w:t>
            </w:r>
          </w:p>
        </w:tc>
        <w:tc>
          <w:tcPr>
            <w:tcW w:w="603" w:type="pct"/>
            <w:vAlign w:val="center"/>
          </w:tcPr>
          <w:p w14:paraId="037EE1E4">
            <w:pPr>
              <w:keepNext w:val="0"/>
              <w:keepLines w:val="0"/>
              <w:pageBreakBefore w:val="0"/>
              <w:widowControl/>
              <w:kinsoku w:val="0"/>
              <w:wordWrap/>
              <w:overflowPunct/>
              <w:topLinePunct w:val="0"/>
              <w:autoSpaceDE w:val="0"/>
              <w:autoSpaceDN w:val="0"/>
              <w:bidi w:val="0"/>
              <w:adjustRightInd w:val="0"/>
              <w:snapToGrid w:val="0"/>
              <w:spacing w:line="240" w:lineRule="auto"/>
              <w:ind w:left="72"/>
              <w:jc w:val="center"/>
              <w:rPr>
                <w:rFonts w:hint="eastAsia" w:ascii="仿宋_GB2312" w:hAnsi="仿宋_GB2312" w:eastAsia="仿宋_GB2312" w:cs="仿宋_GB2312"/>
                <w:spacing w:val="8"/>
                <w:sz w:val="21"/>
                <w:szCs w:val="21"/>
                <w:lang w:eastAsia="zh-CN"/>
              </w:rPr>
            </w:pPr>
            <w:r>
              <w:rPr>
                <w:rFonts w:hint="eastAsia" w:ascii="仿宋_GB2312" w:hAnsi="仿宋_GB2312" w:eastAsia="仿宋_GB2312" w:cs="仿宋_GB2312"/>
                <w:spacing w:val="8"/>
                <w:sz w:val="21"/>
                <w:szCs w:val="21"/>
              </w:rPr>
              <w:t>国控断面地表水Ⅲ类水体比例100%</w:t>
            </w:r>
            <w:r>
              <w:rPr>
                <w:rFonts w:hint="eastAsia" w:ascii="仿宋_GB2312" w:hAnsi="仿宋_GB2312" w:eastAsia="仿宋_GB2312" w:cs="仿宋_GB2312"/>
                <w:spacing w:val="8"/>
                <w:sz w:val="21"/>
                <w:szCs w:val="21"/>
                <w:lang w:eastAsia="zh-CN"/>
              </w:rPr>
              <w:t>，</w:t>
            </w:r>
            <w:r>
              <w:rPr>
                <w:rFonts w:hint="eastAsia" w:ascii="仿宋_GB2312" w:hAnsi="仿宋_GB2312" w:eastAsia="仿宋_GB2312" w:cs="仿宋_GB2312"/>
                <w:spacing w:val="8"/>
                <w:sz w:val="21"/>
                <w:szCs w:val="21"/>
              </w:rPr>
              <w:t>完成上级规定的考核任务，且保持稳定</w:t>
            </w:r>
          </w:p>
        </w:tc>
        <w:tc>
          <w:tcPr>
            <w:tcW w:w="602" w:type="pct"/>
            <w:vAlign w:val="center"/>
          </w:tcPr>
          <w:p w14:paraId="3B573D4C">
            <w:pPr>
              <w:keepNext w:val="0"/>
              <w:keepLines w:val="0"/>
              <w:pageBreakBefore w:val="0"/>
              <w:widowControl/>
              <w:kinsoku w:val="0"/>
              <w:wordWrap/>
              <w:overflowPunct/>
              <w:topLinePunct w:val="0"/>
              <w:autoSpaceDE w:val="0"/>
              <w:autoSpaceDN w:val="0"/>
              <w:bidi w:val="0"/>
              <w:adjustRightInd w:val="0"/>
              <w:snapToGrid w:val="0"/>
              <w:spacing w:line="240" w:lineRule="auto"/>
              <w:ind w:left="72" w:leftChars="0"/>
              <w:jc w:val="center"/>
              <w:rPr>
                <w:rFonts w:hint="default" w:ascii="仿宋_GB2312" w:hAnsi="仿宋_GB2312" w:eastAsia="仿宋_GB2312" w:cs="仿宋_GB2312"/>
                <w:spacing w:val="8"/>
                <w:sz w:val="21"/>
                <w:szCs w:val="21"/>
                <w:lang w:val="en-US" w:eastAsia="zh-CN"/>
              </w:rPr>
            </w:pPr>
            <w:r>
              <w:rPr>
                <w:rFonts w:hint="eastAsia" w:ascii="仿宋_GB2312" w:hAnsi="仿宋_GB2312" w:eastAsia="仿宋_GB2312" w:cs="仿宋_GB2312"/>
                <w:spacing w:val="8"/>
                <w:sz w:val="21"/>
                <w:szCs w:val="21"/>
              </w:rPr>
              <w:t>国控断面地表水Ⅲ类水体比例100%</w:t>
            </w:r>
            <w:r>
              <w:rPr>
                <w:rFonts w:hint="eastAsia" w:ascii="仿宋_GB2312" w:hAnsi="仿宋_GB2312" w:eastAsia="仿宋_GB2312" w:cs="仿宋_GB2312"/>
                <w:spacing w:val="8"/>
                <w:sz w:val="21"/>
                <w:szCs w:val="21"/>
                <w:lang w:eastAsia="zh-CN"/>
              </w:rPr>
              <w:t>，</w:t>
            </w:r>
            <w:r>
              <w:rPr>
                <w:rFonts w:hint="eastAsia" w:ascii="仿宋_GB2312" w:hAnsi="仿宋_GB2312" w:eastAsia="仿宋_GB2312" w:cs="仿宋_GB2312"/>
                <w:spacing w:val="8"/>
                <w:sz w:val="21"/>
                <w:szCs w:val="21"/>
              </w:rPr>
              <w:t>完成上级规定的考核任务，且保持稳定</w:t>
            </w:r>
          </w:p>
        </w:tc>
      </w:tr>
      <w:tr w14:paraId="62FC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70717C27">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76E5DCBC">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continue"/>
            <w:vAlign w:val="top"/>
          </w:tcPr>
          <w:p w14:paraId="7B4E1B62">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775" w:type="pct"/>
            <w:vAlign w:val="center"/>
          </w:tcPr>
          <w:p w14:paraId="1C704BEC">
            <w:pPr>
              <w:keepNext w:val="0"/>
              <w:keepLines w:val="0"/>
              <w:pageBreakBefore w:val="0"/>
              <w:widowControl/>
              <w:kinsoku w:val="0"/>
              <w:wordWrap/>
              <w:overflowPunct/>
              <w:topLinePunct w:val="0"/>
              <w:autoSpaceDE w:val="0"/>
              <w:autoSpaceDN w:val="0"/>
              <w:bidi w:val="0"/>
              <w:adjustRightInd w:val="0"/>
              <w:snapToGrid w:val="0"/>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县城污水处理率</w:t>
            </w:r>
          </w:p>
        </w:tc>
        <w:tc>
          <w:tcPr>
            <w:tcW w:w="336" w:type="pct"/>
            <w:vMerge w:val="continue"/>
            <w:vAlign w:val="center"/>
          </w:tcPr>
          <w:p w14:paraId="44EE5FD1">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695" w:type="pct"/>
            <w:vAlign w:val="center"/>
          </w:tcPr>
          <w:p w14:paraId="67B3886D">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position w:val="1"/>
                <w:sz w:val="21"/>
                <w:szCs w:val="21"/>
              </w:rPr>
              <w:t>≥95</w:t>
            </w:r>
          </w:p>
        </w:tc>
        <w:tc>
          <w:tcPr>
            <w:tcW w:w="694" w:type="pct"/>
            <w:vAlign w:val="center"/>
          </w:tcPr>
          <w:p w14:paraId="694D3EF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position w:val="1"/>
                <w:sz w:val="21"/>
                <w:szCs w:val="21"/>
              </w:rPr>
            </w:pPr>
            <w:r>
              <w:rPr>
                <w:rFonts w:hint="eastAsia" w:ascii="仿宋_GB2312" w:hAnsi="仿宋_GB2312" w:eastAsia="仿宋_GB2312" w:cs="仿宋_GB2312"/>
                <w:spacing w:val="-3"/>
                <w:position w:val="1"/>
                <w:sz w:val="21"/>
                <w:szCs w:val="21"/>
              </w:rPr>
              <w:t>99.1</w:t>
            </w:r>
          </w:p>
        </w:tc>
        <w:tc>
          <w:tcPr>
            <w:tcW w:w="603" w:type="pct"/>
            <w:vAlign w:val="center"/>
          </w:tcPr>
          <w:p w14:paraId="28F8839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3"/>
                <w:position w:val="1"/>
                <w:sz w:val="21"/>
                <w:szCs w:val="21"/>
                <w:lang w:val="en-US" w:eastAsia="zh-CN"/>
              </w:rPr>
            </w:pPr>
            <w:r>
              <w:rPr>
                <w:rFonts w:hint="eastAsia" w:ascii="仿宋_GB2312" w:hAnsi="仿宋_GB2312" w:eastAsia="仿宋_GB2312" w:cs="仿宋_GB2312"/>
                <w:spacing w:val="-3"/>
                <w:position w:val="1"/>
                <w:sz w:val="21"/>
                <w:szCs w:val="21"/>
                <w:lang w:val="en-US" w:eastAsia="zh-CN"/>
              </w:rPr>
              <w:t>＞</w:t>
            </w:r>
            <w:r>
              <w:rPr>
                <w:rFonts w:hint="eastAsia" w:ascii="仿宋_GB2312" w:hAnsi="仿宋_GB2312" w:eastAsia="仿宋_GB2312" w:cs="仿宋_GB2312"/>
                <w:spacing w:val="-3"/>
                <w:position w:val="1"/>
                <w:sz w:val="21"/>
                <w:szCs w:val="21"/>
              </w:rPr>
              <w:t>9</w:t>
            </w:r>
            <w:r>
              <w:rPr>
                <w:rFonts w:hint="eastAsia" w:ascii="仿宋_GB2312" w:hAnsi="仿宋_GB2312" w:eastAsia="仿宋_GB2312" w:cs="仿宋_GB2312"/>
                <w:spacing w:val="-3"/>
                <w:position w:val="1"/>
                <w:sz w:val="21"/>
                <w:szCs w:val="21"/>
                <w:lang w:val="en-US" w:eastAsia="zh-CN"/>
              </w:rPr>
              <w:t>9.1</w:t>
            </w:r>
          </w:p>
        </w:tc>
        <w:tc>
          <w:tcPr>
            <w:tcW w:w="602" w:type="pct"/>
            <w:vAlign w:val="center"/>
          </w:tcPr>
          <w:p w14:paraId="4D794CD0">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3"/>
                <w:position w:val="1"/>
                <w:sz w:val="21"/>
                <w:szCs w:val="21"/>
                <w:lang w:val="en-US" w:eastAsia="zh-CN"/>
              </w:rPr>
            </w:pPr>
            <w:r>
              <w:rPr>
                <w:rFonts w:hint="eastAsia" w:ascii="仿宋_GB2312" w:hAnsi="仿宋_GB2312" w:eastAsia="仿宋_GB2312" w:cs="仿宋_GB2312"/>
                <w:spacing w:val="-3"/>
                <w:position w:val="1"/>
                <w:sz w:val="21"/>
                <w:szCs w:val="21"/>
                <w:lang w:val="en-US" w:eastAsia="zh-CN"/>
              </w:rPr>
              <w:t>100</w:t>
            </w:r>
          </w:p>
        </w:tc>
      </w:tr>
      <w:tr w14:paraId="0EF5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1164480E">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0EEB0F59">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continue"/>
            <w:vAlign w:val="top"/>
          </w:tcPr>
          <w:p w14:paraId="71F07DF6">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775" w:type="pct"/>
            <w:vAlign w:val="center"/>
          </w:tcPr>
          <w:p w14:paraId="50EBBE11">
            <w:pPr>
              <w:keepNext w:val="0"/>
              <w:keepLines w:val="0"/>
              <w:pageBreakBefore w:val="0"/>
              <w:widowControl/>
              <w:kinsoku w:val="0"/>
              <w:wordWrap/>
              <w:overflowPunct/>
              <w:topLinePunct w:val="0"/>
              <w:autoSpaceDE w:val="0"/>
              <w:autoSpaceDN w:val="0"/>
              <w:bidi w:val="0"/>
              <w:adjustRightInd w:val="0"/>
              <w:snapToGrid w:val="0"/>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县级城市建成区黑臭水体消除率</w:t>
            </w:r>
          </w:p>
        </w:tc>
        <w:tc>
          <w:tcPr>
            <w:tcW w:w="336" w:type="pct"/>
            <w:vMerge w:val="continue"/>
            <w:vAlign w:val="center"/>
          </w:tcPr>
          <w:p w14:paraId="12EA8FF0">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695" w:type="pct"/>
            <w:vAlign w:val="center"/>
          </w:tcPr>
          <w:p w14:paraId="70027B78">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100</w:t>
            </w:r>
          </w:p>
        </w:tc>
        <w:tc>
          <w:tcPr>
            <w:tcW w:w="694" w:type="pct"/>
            <w:vAlign w:val="center"/>
          </w:tcPr>
          <w:p w14:paraId="5EAB1BF1">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c>
          <w:tcPr>
            <w:tcW w:w="603" w:type="pct"/>
            <w:vAlign w:val="center"/>
          </w:tcPr>
          <w:p w14:paraId="7583EBD0">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c>
          <w:tcPr>
            <w:tcW w:w="602" w:type="pct"/>
            <w:vAlign w:val="center"/>
          </w:tcPr>
          <w:p w14:paraId="5ABC9C75">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r>
      <w:tr w14:paraId="6CC4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23E90730">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77F2FC78">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continue"/>
            <w:vAlign w:val="top"/>
          </w:tcPr>
          <w:p w14:paraId="0E2C27D0">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775" w:type="pct"/>
            <w:vAlign w:val="center"/>
          </w:tcPr>
          <w:p w14:paraId="4A676811">
            <w:pPr>
              <w:keepNext w:val="0"/>
              <w:keepLines w:val="0"/>
              <w:pageBreakBefore w:val="0"/>
              <w:widowControl/>
              <w:kinsoku w:val="0"/>
              <w:wordWrap/>
              <w:overflowPunct/>
              <w:topLinePunct w:val="0"/>
              <w:autoSpaceDE w:val="0"/>
              <w:autoSpaceDN w:val="0"/>
              <w:bidi w:val="0"/>
              <w:adjustRightInd w:val="0"/>
              <w:snapToGrid w:val="0"/>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较大面积农村黑臭水体整治率*</w:t>
            </w:r>
          </w:p>
        </w:tc>
        <w:tc>
          <w:tcPr>
            <w:tcW w:w="336" w:type="pct"/>
            <w:vMerge w:val="continue"/>
            <w:vAlign w:val="center"/>
          </w:tcPr>
          <w:p w14:paraId="6EBE8ABA">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695" w:type="pct"/>
            <w:vAlign w:val="center"/>
          </w:tcPr>
          <w:p w14:paraId="4BF71C23">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100</w:t>
            </w:r>
          </w:p>
        </w:tc>
        <w:tc>
          <w:tcPr>
            <w:tcW w:w="694" w:type="pct"/>
            <w:vAlign w:val="center"/>
          </w:tcPr>
          <w:p w14:paraId="16BBB75F">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c>
          <w:tcPr>
            <w:tcW w:w="603" w:type="pct"/>
            <w:vAlign w:val="center"/>
          </w:tcPr>
          <w:p w14:paraId="5A2B4C6F">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c>
          <w:tcPr>
            <w:tcW w:w="602" w:type="pct"/>
            <w:vAlign w:val="center"/>
          </w:tcPr>
          <w:p w14:paraId="432697E1">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r>
      <w:tr w14:paraId="79B3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724D0A7F">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restart"/>
            <w:vAlign w:val="top"/>
          </w:tcPr>
          <w:p w14:paraId="77EE11D4">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25F26773">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411EEF3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（三）</w:t>
            </w:r>
          </w:p>
          <w:p w14:paraId="2EB13B1C">
            <w:pPr>
              <w:keepNext w:val="0"/>
              <w:keepLines w:val="0"/>
              <w:pageBreakBefore w:val="0"/>
              <w:widowControl/>
              <w:kinsoku w:val="0"/>
              <w:wordWrap/>
              <w:overflowPunct/>
              <w:topLinePunct w:val="0"/>
              <w:autoSpaceDE w:val="0"/>
              <w:autoSpaceDN w:val="0"/>
              <w:bidi w:val="0"/>
              <w:adjustRightInd w:val="0"/>
              <w:snapToGrid w:val="0"/>
              <w:spacing w:line="240" w:lineRule="auto"/>
              <w:ind w:left="0"/>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生态质量</w:t>
            </w:r>
            <w:r>
              <w:rPr>
                <w:rFonts w:hint="eastAsia" w:ascii="仿宋_GB2312" w:hAnsi="仿宋_GB2312" w:eastAsia="仿宋_GB2312" w:cs="仿宋_GB2312"/>
                <w:spacing w:val="4"/>
                <w:sz w:val="21"/>
                <w:szCs w:val="21"/>
              </w:rPr>
              <w:t>提升</w:t>
            </w:r>
          </w:p>
        </w:tc>
        <w:tc>
          <w:tcPr>
            <w:tcW w:w="279" w:type="pct"/>
            <w:vMerge w:val="restart"/>
            <w:vAlign w:val="top"/>
          </w:tcPr>
          <w:p w14:paraId="44BEF186">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p w14:paraId="274181AF">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p w14:paraId="12B35F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p w14:paraId="509B50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775" w:type="pct"/>
            <w:vAlign w:val="center"/>
          </w:tcPr>
          <w:p w14:paraId="74D54DD6">
            <w:pPr>
              <w:keepNext w:val="0"/>
              <w:keepLines w:val="0"/>
              <w:pageBreakBefore w:val="0"/>
              <w:widowControl/>
              <w:kinsoku w:val="0"/>
              <w:wordWrap/>
              <w:overflowPunct/>
              <w:topLinePunct w:val="0"/>
              <w:autoSpaceDE w:val="0"/>
              <w:autoSpaceDN w:val="0"/>
              <w:bidi w:val="0"/>
              <w:adjustRightInd w:val="0"/>
              <w:snapToGrid w:val="0"/>
              <w:spacing w:line="240" w:lineRule="auto"/>
              <w:ind w:left="19"/>
              <w:jc w:val="both"/>
              <w:rPr>
                <w:rFonts w:hint="eastAsia" w:ascii="仿宋_GB2312" w:hAnsi="仿宋_GB2312" w:eastAsia="仿宋_GB2312" w:cs="仿宋_GB2312"/>
                <w:sz w:val="21"/>
                <w:szCs w:val="21"/>
              </w:rPr>
            </w:pPr>
            <w:r>
              <w:rPr>
                <w:rFonts w:hint="eastAsia" w:ascii="仿宋_GB2312" w:hAnsi="仿宋_GB2312" w:eastAsia="仿宋_GB2312" w:cs="仿宋_GB2312"/>
                <w:b/>
                <w:bCs/>
                <w:spacing w:val="5"/>
                <w:sz w:val="21"/>
                <w:szCs w:val="21"/>
              </w:rPr>
              <w:t>区域生态保护监管</w:t>
            </w:r>
          </w:p>
        </w:tc>
        <w:tc>
          <w:tcPr>
            <w:tcW w:w="336" w:type="pct"/>
            <w:vAlign w:val="center"/>
          </w:tcPr>
          <w:p w14:paraId="09E182AE">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695" w:type="pct"/>
            <w:vAlign w:val="center"/>
          </w:tcPr>
          <w:p w14:paraId="5F6F6810">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694" w:type="pct"/>
            <w:vAlign w:val="center"/>
          </w:tcPr>
          <w:p w14:paraId="4F9B5893">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603" w:type="pct"/>
            <w:vAlign w:val="center"/>
          </w:tcPr>
          <w:p w14:paraId="2AAD12C2">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602" w:type="pct"/>
            <w:vAlign w:val="center"/>
          </w:tcPr>
          <w:p w14:paraId="3DEE2E24">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r>
      <w:tr w14:paraId="7C1C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792AC673">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7EB90AAC">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continue"/>
            <w:vAlign w:val="top"/>
          </w:tcPr>
          <w:p w14:paraId="6A92B519">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775" w:type="pct"/>
            <w:vAlign w:val="center"/>
          </w:tcPr>
          <w:p w14:paraId="0698FAFE">
            <w:pPr>
              <w:keepNext w:val="0"/>
              <w:keepLines w:val="0"/>
              <w:pageBreakBefore w:val="0"/>
              <w:widowControl/>
              <w:kinsoku w:val="0"/>
              <w:wordWrap/>
              <w:overflowPunct/>
              <w:topLinePunct w:val="0"/>
              <w:autoSpaceDE w:val="0"/>
              <w:autoSpaceDN w:val="0"/>
              <w:bidi w:val="0"/>
              <w:adjustRightInd w:val="0"/>
              <w:snapToGrid w:val="0"/>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生态质量指数（</w:t>
            </w:r>
            <w:r>
              <w:rPr>
                <w:rFonts w:hint="eastAsia" w:ascii="仿宋_GB2312" w:hAnsi="仿宋_GB2312" w:eastAsia="仿宋_GB2312" w:cs="仿宋_GB2312"/>
                <w:sz w:val="21"/>
                <w:szCs w:val="21"/>
              </w:rPr>
              <w:t>EQI</w:t>
            </w:r>
            <w:r>
              <w:rPr>
                <w:rFonts w:hint="eastAsia" w:ascii="仿宋_GB2312" w:hAnsi="仿宋_GB2312" w:eastAsia="仿宋_GB2312" w:cs="仿宋_GB2312"/>
                <w:spacing w:val="9"/>
                <w:sz w:val="21"/>
                <w:szCs w:val="21"/>
              </w:rPr>
              <w:t>）</w:t>
            </w:r>
          </w:p>
        </w:tc>
        <w:tc>
          <w:tcPr>
            <w:tcW w:w="336" w:type="pct"/>
            <w:vAlign w:val="center"/>
          </w:tcPr>
          <w:p w14:paraId="42DD3B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3"/>
                <w:sz w:val="21"/>
                <w:szCs w:val="21"/>
              </w:rPr>
              <w:t>-</w:t>
            </w:r>
          </w:p>
        </w:tc>
        <w:tc>
          <w:tcPr>
            <w:tcW w:w="695" w:type="pct"/>
            <w:vAlign w:val="center"/>
          </w:tcPr>
          <w:p w14:paraId="641632B6">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6"/>
                <w:sz w:val="21"/>
                <w:szCs w:val="21"/>
              </w:rPr>
              <w:t>△</w:t>
            </w:r>
            <w:r>
              <w:rPr>
                <w:rFonts w:hint="eastAsia" w:ascii="仿宋_GB2312" w:hAnsi="仿宋_GB2312" w:eastAsia="仿宋_GB2312" w:cs="仿宋_GB2312"/>
                <w:sz w:val="21"/>
                <w:szCs w:val="21"/>
              </w:rPr>
              <w:t>EQI</w:t>
            </w:r>
            <w:r>
              <w:rPr>
                <w:rFonts w:hint="eastAsia" w:ascii="仿宋_GB2312" w:hAnsi="仿宋_GB2312" w:eastAsia="仿宋_GB2312" w:cs="仿宋_GB2312"/>
                <w:spacing w:val="6"/>
                <w:sz w:val="21"/>
                <w:szCs w:val="21"/>
              </w:rPr>
              <w:t>&gt;-1</w:t>
            </w:r>
          </w:p>
        </w:tc>
        <w:tc>
          <w:tcPr>
            <w:tcW w:w="694" w:type="pct"/>
            <w:vAlign w:val="center"/>
          </w:tcPr>
          <w:p w14:paraId="1AA71BC7">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6"/>
                <w:sz w:val="21"/>
                <w:szCs w:val="21"/>
                <w:lang w:val="en-US" w:eastAsia="zh-CN"/>
              </w:rPr>
            </w:pPr>
            <w:r>
              <w:rPr>
                <w:rFonts w:hint="eastAsia" w:ascii="仿宋_GB2312" w:hAnsi="仿宋_GB2312" w:eastAsia="仿宋_GB2312" w:cs="仿宋_GB2312"/>
                <w:spacing w:val="6"/>
                <w:sz w:val="21"/>
                <w:szCs w:val="21"/>
                <w:lang w:val="en-US" w:eastAsia="zh-CN"/>
              </w:rPr>
              <w:t>2022年：</w:t>
            </w:r>
            <w:r>
              <w:rPr>
                <w:rFonts w:hint="eastAsia" w:ascii="FangSong_GB2312" w:hAnsi="FangSong_GB2312" w:eastAsia="FangSong_GB2312" w:cs="FangSong_GB2312"/>
                <w:snapToGrid w:val="0"/>
                <w:color w:val="000000"/>
                <w:spacing w:val="5"/>
                <w:kern w:val="0"/>
                <w:sz w:val="22"/>
                <w:szCs w:val="22"/>
                <w:highlight w:val="none"/>
                <w:lang w:val="en-US" w:eastAsia="zh-CN" w:bidi="ar-SA"/>
              </w:rPr>
              <w:t>△EQI=1.97；2023年数据暂时未出</w:t>
            </w:r>
          </w:p>
        </w:tc>
        <w:tc>
          <w:tcPr>
            <w:tcW w:w="603" w:type="pct"/>
            <w:vAlign w:val="center"/>
          </w:tcPr>
          <w:p w14:paraId="3DB2096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6"/>
                <w:sz w:val="21"/>
                <w:szCs w:val="21"/>
                <w:lang w:eastAsia="zh-CN"/>
              </w:rPr>
            </w:pPr>
            <w:r>
              <w:rPr>
                <w:rFonts w:hint="eastAsia" w:ascii="仿宋_GB2312" w:hAnsi="仿宋_GB2312" w:eastAsia="仿宋_GB2312" w:cs="仿宋_GB2312"/>
                <w:spacing w:val="6"/>
                <w:sz w:val="21"/>
                <w:szCs w:val="21"/>
              </w:rPr>
              <w:t>△</w:t>
            </w:r>
            <w:r>
              <w:rPr>
                <w:rFonts w:hint="eastAsia" w:ascii="仿宋_GB2312" w:hAnsi="仿宋_GB2312" w:eastAsia="仿宋_GB2312" w:cs="仿宋_GB2312"/>
                <w:sz w:val="21"/>
                <w:szCs w:val="21"/>
              </w:rPr>
              <w:t>EQI</w:t>
            </w:r>
            <w:r>
              <w:rPr>
                <w:rFonts w:hint="eastAsia" w:ascii="仿宋_GB2312" w:hAnsi="仿宋_GB2312" w:eastAsia="仿宋_GB2312" w:cs="仿宋_GB2312"/>
                <w:spacing w:val="6"/>
                <w:sz w:val="21"/>
                <w:szCs w:val="21"/>
                <w:lang w:val="en-US" w:eastAsia="zh-CN"/>
              </w:rPr>
              <w:t>≥</w:t>
            </w:r>
            <w:r>
              <w:rPr>
                <w:rFonts w:hint="eastAsia" w:ascii="仿宋_GB2312" w:hAnsi="仿宋_GB2312" w:eastAsia="仿宋_GB2312" w:cs="仿宋_GB2312"/>
                <w:spacing w:val="6"/>
                <w:sz w:val="21"/>
                <w:szCs w:val="21"/>
              </w:rPr>
              <w:t>1</w:t>
            </w:r>
            <w:r>
              <w:rPr>
                <w:rFonts w:hint="eastAsia" w:ascii="仿宋_GB2312" w:hAnsi="仿宋_GB2312" w:eastAsia="仿宋_GB2312" w:cs="仿宋_GB2312"/>
                <w:spacing w:val="6"/>
                <w:sz w:val="21"/>
                <w:szCs w:val="21"/>
                <w:lang w:val="en-US" w:eastAsia="zh-CN"/>
              </w:rPr>
              <w:t>.97</w:t>
            </w:r>
            <w:r>
              <w:rPr>
                <w:rFonts w:hint="eastAsia" w:ascii="仿宋_GB2312" w:hAnsi="仿宋_GB2312" w:eastAsia="仿宋_GB2312" w:cs="仿宋_GB2312"/>
                <w:spacing w:val="6"/>
                <w:sz w:val="21"/>
                <w:szCs w:val="21"/>
                <w:lang w:eastAsia="zh-CN"/>
              </w:rPr>
              <w:t>；</w:t>
            </w:r>
            <w:r>
              <w:rPr>
                <w:rFonts w:hint="eastAsia" w:ascii="仿宋_GB2312" w:hAnsi="仿宋_GB2312" w:eastAsia="仿宋_GB2312" w:cs="仿宋_GB2312"/>
                <w:spacing w:val="6"/>
                <w:sz w:val="21"/>
                <w:szCs w:val="21"/>
                <w:lang w:val="en-US" w:eastAsia="zh-CN"/>
              </w:rPr>
              <w:t>保持</w:t>
            </w:r>
            <w:r>
              <w:rPr>
                <w:rFonts w:hint="eastAsia" w:ascii="仿宋_GB2312" w:hAnsi="仿宋_GB2312" w:eastAsia="仿宋_GB2312" w:cs="仿宋_GB2312"/>
                <w:spacing w:val="6"/>
                <w:sz w:val="21"/>
                <w:szCs w:val="21"/>
                <w:lang w:eastAsia="zh-CN"/>
              </w:rPr>
              <w:t>生态质量轻微变好</w:t>
            </w:r>
          </w:p>
        </w:tc>
        <w:tc>
          <w:tcPr>
            <w:tcW w:w="602" w:type="pct"/>
            <w:vAlign w:val="center"/>
          </w:tcPr>
          <w:p w14:paraId="6B7D5E27">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6"/>
                <w:sz w:val="21"/>
                <w:szCs w:val="21"/>
              </w:rPr>
            </w:pPr>
            <w:r>
              <w:rPr>
                <w:rFonts w:hint="eastAsia" w:ascii="仿宋_GB2312" w:hAnsi="仿宋_GB2312" w:eastAsia="仿宋_GB2312" w:cs="仿宋_GB2312"/>
                <w:spacing w:val="6"/>
                <w:sz w:val="21"/>
                <w:szCs w:val="21"/>
              </w:rPr>
              <w:t>△</w:t>
            </w:r>
            <w:r>
              <w:rPr>
                <w:rFonts w:hint="eastAsia" w:ascii="仿宋_GB2312" w:hAnsi="仿宋_GB2312" w:eastAsia="仿宋_GB2312" w:cs="仿宋_GB2312"/>
                <w:sz w:val="21"/>
                <w:szCs w:val="21"/>
              </w:rPr>
              <w:t>EQI</w:t>
            </w:r>
            <w:r>
              <w:rPr>
                <w:rFonts w:hint="eastAsia" w:ascii="仿宋_GB2312" w:hAnsi="仿宋_GB2312" w:eastAsia="仿宋_GB2312" w:cs="仿宋_GB2312"/>
                <w:spacing w:val="6"/>
                <w:sz w:val="21"/>
                <w:szCs w:val="21"/>
              </w:rPr>
              <w:t>&gt;</w:t>
            </w:r>
            <w:r>
              <w:rPr>
                <w:rFonts w:hint="eastAsia" w:ascii="仿宋_GB2312" w:hAnsi="仿宋_GB2312" w:eastAsia="仿宋_GB2312" w:cs="仿宋_GB2312"/>
                <w:spacing w:val="6"/>
                <w:sz w:val="21"/>
                <w:szCs w:val="21"/>
                <w:lang w:val="en-US" w:eastAsia="zh-CN"/>
              </w:rPr>
              <w:t>1.97</w:t>
            </w:r>
            <w:r>
              <w:rPr>
                <w:rFonts w:hint="eastAsia" w:ascii="仿宋_GB2312" w:hAnsi="仿宋_GB2312" w:eastAsia="仿宋_GB2312" w:cs="仿宋_GB2312"/>
                <w:spacing w:val="6"/>
                <w:sz w:val="21"/>
                <w:szCs w:val="21"/>
                <w:lang w:eastAsia="zh-CN"/>
              </w:rPr>
              <w:t>；生态质量轻微变好</w:t>
            </w:r>
          </w:p>
        </w:tc>
      </w:tr>
      <w:tr w14:paraId="30A7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32830B8C">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7548EDC3">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continue"/>
            <w:vAlign w:val="top"/>
          </w:tcPr>
          <w:p w14:paraId="15FFE50A">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775" w:type="pct"/>
            <w:vAlign w:val="center"/>
          </w:tcPr>
          <w:p w14:paraId="6DF78B6E">
            <w:pPr>
              <w:keepNext w:val="0"/>
              <w:keepLines w:val="0"/>
              <w:pageBreakBefore w:val="0"/>
              <w:widowControl/>
              <w:kinsoku w:val="0"/>
              <w:wordWrap/>
              <w:overflowPunct/>
              <w:topLinePunct w:val="0"/>
              <w:autoSpaceDE w:val="0"/>
              <w:autoSpaceDN w:val="0"/>
              <w:bidi w:val="0"/>
              <w:adjustRightInd w:val="0"/>
              <w:snapToGrid w:val="0"/>
              <w:spacing w:line="240" w:lineRule="auto"/>
              <w:ind w:right="86"/>
              <w:jc w:val="both"/>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自然保护地和生态保护红线生态环境重点问题整改率</w:t>
            </w:r>
          </w:p>
        </w:tc>
        <w:tc>
          <w:tcPr>
            <w:tcW w:w="336" w:type="pct"/>
            <w:vAlign w:val="center"/>
          </w:tcPr>
          <w:p w14:paraId="6BAE3D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position w:val="1"/>
                <w:sz w:val="21"/>
                <w:szCs w:val="21"/>
              </w:rPr>
              <w:t>%</w:t>
            </w:r>
          </w:p>
        </w:tc>
        <w:tc>
          <w:tcPr>
            <w:tcW w:w="695" w:type="pct"/>
            <w:vAlign w:val="center"/>
          </w:tcPr>
          <w:p w14:paraId="3C9A17F4">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100</w:t>
            </w:r>
          </w:p>
        </w:tc>
        <w:tc>
          <w:tcPr>
            <w:tcW w:w="694" w:type="pct"/>
            <w:vAlign w:val="center"/>
          </w:tcPr>
          <w:p w14:paraId="5FE95634">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c>
          <w:tcPr>
            <w:tcW w:w="603" w:type="pct"/>
            <w:vAlign w:val="center"/>
          </w:tcPr>
          <w:p w14:paraId="56F5652F">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c>
          <w:tcPr>
            <w:tcW w:w="602" w:type="pct"/>
            <w:vAlign w:val="center"/>
          </w:tcPr>
          <w:p w14:paraId="7E549235">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r>
      <w:tr w14:paraId="5C19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1FEB0874">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7473D0D6">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continue"/>
            <w:vAlign w:val="top"/>
          </w:tcPr>
          <w:p w14:paraId="5EDEF5B5">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775" w:type="pct"/>
            <w:vAlign w:val="center"/>
          </w:tcPr>
          <w:p w14:paraId="29B3C9BE">
            <w:pPr>
              <w:keepNext w:val="0"/>
              <w:keepLines w:val="0"/>
              <w:pageBreakBefore w:val="0"/>
              <w:widowControl/>
              <w:kinsoku w:val="0"/>
              <w:wordWrap/>
              <w:overflowPunct/>
              <w:topLinePunct w:val="0"/>
              <w:autoSpaceDE w:val="0"/>
              <w:autoSpaceDN w:val="0"/>
              <w:bidi w:val="0"/>
              <w:adjustRightInd w:val="0"/>
              <w:snapToGrid w:val="0"/>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生物多样性调查</w:t>
            </w:r>
          </w:p>
        </w:tc>
        <w:tc>
          <w:tcPr>
            <w:tcW w:w="336" w:type="pct"/>
            <w:vAlign w:val="center"/>
          </w:tcPr>
          <w:p w14:paraId="0C7FE6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3"/>
                <w:sz w:val="21"/>
                <w:szCs w:val="21"/>
              </w:rPr>
              <w:t>-</w:t>
            </w:r>
          </w:p>
        </w:tc>
        <w:tc>
          <w:tcPr>
            <w:tcW w:w="695" w:type="pct"/>
            <w:vAlign w:val="center"/>
          </w:tcPr>
          <w:p w14:paraId="40261F45">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开展</w:t>
            </w:r>
          </w:p>
        </w:tc>
        <w:tc>
          <w:tcPr>
            <w:tcW w:w="694" w:type="pct"/>
            <w:vAlign w:val="center"/>
          </w:tcPr>
          <w:p w14:paraId="120616A8">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开展</w:t>
            </w:r>
          </w:p>
        </w:tc>
        <w:tc>
          <w:tcPr>
            <w:tcW w:w="603" w:type="pct"/>
            <w:vAlign w:val="center"/>
          </w:tcPr>
          <w:p w14:paraId="4967DF36">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开展</w:t>
            </w:r>
          </w:p>
        </w:tc>
        <w:tc>
          <w:tcPr>
            <w:tcW w:w="602" w:type="pct"/>
            <w:vAlign w:val="center"/>
          </w:tcPr>
          <w:p w14:paraId="71059254">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开展</w:t>
            </w:r>
          </w:p>
        </w:tc>
      </w:tr>
      <w:tr w14:paraId="2873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68AAA9F7">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3C3E688A">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restart"/>
            <w:vAlign w:val="center"/>
          </w:tcPr>
          <w:p w14:paraId="23DD5C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7</w:t>
            </w:r>
          </w:p>
        </w:tc>
        <w:tc>
          <w:tcPr>
            <w:tcW w:w="775" w:type="pct"/>
            <w:vAlign w:val="center"/>
          </w:tcPr>
          <w:p w14:paraId="47DF2076">
            <w:pPr>
              <w:keepNext w:val="0"/>
              <w:keepLines w:val="0"/>
              <w:pageBreakBefore w:val="0"/>
              <w:widowControl/>
              <w:kinsoku w:val="0"/>
              <w:wordWrap/>
              <w:overflowPunct/>
              <w:topLinePunct w:val="0"/>
              <w:autoSpaceDE w:val="0"/>
              <w:autoSpaceDN w:val="0"/>
              <w:bidi w:val="0"/>
              <w:adjustRightInd w:val="0"/>
              <w:snapToGrid w:val="0"/>
              <w:spacing w:line="240" w:lineRule="auto"/>
              <w:ind w:left="6"/>
              <w:jc w:val="both"/>
              <w:rPr>
                <w:rFonts w:hint="eastAsia" w:ascii="仿宋_GB2312" w:hAnsi="仿宋_GB2312" w:eastAsia="仿宋_GB2312" w:cs="仿宋_GB2312"/>
                <w:sz w:val="21"/>
                <w:szCs w:val="21"/>
              </w:rPr>
            </w:pPr>
            <w:r>
              <w:rPr>
                <w:rFonts w:hint="eastAsia" w:ascii="仿宋_GB2312" w:hAnsi="仿宋_GB2312" w:eastAsia="仿宋_GB2312" w:cs="仿宋_GB2312"/>
                <w:b/>
                <w:bCs/>
                <w:spacing w:val="7"/>
                <w:sz w:val="21"/>
                <w:szCs w:val="21"/>
              </w:rPr>
              <w:t>生态系统保护修复</w:t>
            </w:r>
          </w:p>
        </w:tc>
        <w:tc>
          <w:tcPr>
            <w:tcW w:w="336" w:type="pct"/>
            <w:vAlign w:val="center"/>
          </w:tcPr>
          <w:p w14:paraId="2DE7143A">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695" w:type="pct"/>
            <w:vAlign w:val="center"/>
          </w:tcPr>
          <w:p w14:paraId="788CC7C8">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694" w:type="pct"/>
            <w:vAlign w:val="center"/>
          </w:tcPr>
          <w:p w14:paraId="42091953">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603" w:type="pct"/>
            <w:vAlign w:val="center"/>
          </w:tcPr>
          <w:p w14:paraId="343EDB05">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602" w:type="pct"/>
            <w:vAlign w:val="center"/>
          </w:tcPr>
          <w:p w14:paraId="00B1960F">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r>
      <w:tr w14:paraId="25BD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17B9E390">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4469D445">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continue"/>
            <w:vAlign w:val="center"/>
          </w:tcPr>
          <w:p w14:paraId="63319A76">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775" w:type="pct"/>
            <w:vAlign w:val="center"/>
          </w:tcPr>
          <w:p w14:paraId="4A5A5A93">
            <w:pPr>
              <w:keepNext w:val="0"/>
              <w:keepLines w:val="0"/>
              <w:pageBreakBefore w:val="0"/>
              <w:widowControl/>
              <w:kinsoku w:val="0"/>
              <w:wordWrap/>
              <w:overflowPunct/>
              <w:topLinePunct w:val="0"/>
              <w:autoSpaceDE w:val="0"/>
              <w:autoSpaceDN w:val="0"/>
              <w:bidi w:val="0"/>
              <w:adjustRightInd w:val="0"/>
              <w:snapToGrid w:val="0"/>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森林覆盖率*</w:t>
            </w:r>
          </w:p>
        </w:tc>
        <w:tc>
          <w:tcPr>
            <w:tcW w:w="336" w:type="pct"/>
            <w:vMerge w:val="restart"/>
            <w:vAlign w:val="center"/>
          </w:tcPr>
          <w:p w14:paraId="7F21AE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position w:val="1"/>
                <w:sz w:val="21"/>
                <w:szCs w:val="21"/>
              </w:rPr>
              <w:t>%</w:t>
            </w:r>
          </w:p>
        </w:tc>
        <w:tc>
          <w:tcPr>
            <w:tcW w:w="695" w:type="pct"/>
            <w:vAlign w:val="center"/>
          </w:tcPr>
          <w:p w14:paraId="538A017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保持稳定或持续改善</w:t>
            </w:r>
          </w:p>
        </w:tc>
        <w:tc>
          <w:tcPr>
            <w:tcW w:w="694" w:type="pct"/>
            <w:vAlign w:val="center"/>
          </w:tcPr>
          <w:p w14:paraId="170E00C0">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lang w:val="en-US" w:eastAsia="zh-CN"/>
              </w:rPr>
              <w:t>46.43</w:t>
            </w:r>
            <w:r>
              <w:rPr>
                <w:rFonts w:hint="eastAsia" w:ascii="仿宋_GB2312" w:hAnsi="仿宋_GB2312" w:eastAsia="仿宋_GB2312" w:cs="仿宋_GB2312"/>
                <w:spacing w:val="-2"/>
                <w:sz w:val="21"/>
                <w:szCs w:val="21"/>
                <w:lang w:eastAsia="zh-CN"/>
              </w:rPr>
              <w:t>；</w:t>
            </w:r>
            <w:r>
              <w:rPr>
                <w:rFonts w:hint="eastAsia" w:ascii="仿宋_GB2312" w:hAnsi="仿宋_GB2312" w:eastAsia="仿宋_GB2312" w:cs="仿宋_GB2312"/>
                <w:spacing w:val="-2"/>
                <w:sz w:val="21"/>
                <w:szCs w:val="21"/>
              </w:rPr>
              <w:t>保持稳定或持续改善</w:t>
            </w:r>
          </w:p>
        </w:tc>
        <w:tc>
          <w:tcPr>
            <w:tcW w:w="603" w:type="pct"/>
            <w:vAlign w:val="center"/>
          </w:tcPr>
          <w:p w14:paraId="1C7E534A">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6"/>
                <w:sz w:val="21"/>
                <w:szCs w:val="21"/>
                <w:lang w:val="en-US" w:eastAsia="zh-CN"/>
              </w:rPr>
              <w:t>≥</w:t>
            </w:r>
            <w:r>
              <w:rPr>
                <w:rFonts w:hint="eastAsia" w:ascii="仿宋_GB2312" w:hAnsi="仿宋_GB2312" w:eastAsia="仿宋_GB2312" w:cs="仿宋_GB2312"/>
                <w:spacing w:val="-2"/>
                <w:sz w:val="21"/>
                <w:szCs w:val="21"/>
                <w:lang w:val="en-US" w:eastAsia="zh-CN"/>
              </w:rPr>
              <w:t>46.43，</w:t>
            </w:r>
            <w:r>
              <w:rPr>
                <w:rFonts w:hint="eastAsia" w:ascii="仿宋_GB2312" w:hAnsi="仿宋_GB2312" w:eastAsia="仿宋_GB2312" w:cs="仿宋_GB2312"/>
                <w:spacing w:val="-2"/>
                <w:sz w:val="21"/>
                <w:szCs w:val="21"/>
              </w:rPr>
              <w:t>保持稳定或持续改善</w:t>
            </w:r>
          </w:p>
        </w:tc>
        <w:tc>
          <w:tcPr>
            <w:tcW w:w="602" w:type="pct"/>
            <w:vAlign w:val="center"/>
          </w:tcPr>
          <w:p w14:paraId="1284ACE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6"/>
                <w:sz w:val="21"/>
                <w:szCs w:val="21"/>
              </w:rPr>
              <w:t>&gt;</w:t>
            </w:r>
            <w:r>
              <w:rPr>
                <w:rFonts w:hint="eastAsia" w:ascii="仿宋_GB2312" w:hAnsi="仿宋_GB2312" w:eastAsia="仿宋_GB2312" w:cs="仿宋_GB2312"/>
                <w:spacing w:val="6"/>
                <w:sz w:val="21"/>
                <w:szCs w:val="21"/>
                <w:lang w:val="en-US" w:eastAsia="zh-CN"/>
              </w:rPr>
              <w:t>46.43，</w:t>
            </w:r>
            <w:r>
              <w:rPr>
                <w:rFonts w:hint="eastAsia" w:ascii="仿宋_GB2312" w:hAnsi="仿宋_GB2312" w:eastAsia="仿宋_GB2312" w:cs="仿宋_GB2312"/>
                <w:spacing w:val="-2"/>
                <w:sz w:val="21"/>
                <w:szCs w:val="21"/>
              </w:rPr>
              <w:t>持续改善</w:t>
            </w:r>
          </w:p>
        </w:tc>
      </w:tr>
      <w:tr w14:paraId="5F8E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0216B575">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3D5694A5">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279" w:type="pct"/>
            <w:vMerge w:val="continue"/>
            <w:vAlign w:val="center"/>
          </w:tcPr>
          <w:p w14:paraId="27D2204C">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775" w:type="pct"/>
            <w:vAlign w:val="center"/>
          </w:tcPr>
          <w:p w14:paraId="2AED2A8C">
            <w:pPr>
              <w:keepNext w:val="0"/>
              <w:keepLines w:val="0"/>
              <w:pageBreakBefore w:val="0"/>
              <w:widowControl/>
              <w:kinsoku w:val="0"/>
              <w:wordWrap/>
              <w:overflowPunct/>
              <w:topLinePunct w:val="0"/>
              <w:autoSpaceDE w:val="0"/>
              <w:autoSpaceDN w:val="0"/>
              <w:bidi w:val="0"/>
              <w:adjustRightInd w:val="0"/>
              <w:snapToGrid w:val="0"/>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草原综合植被盖度*</w:t>
            </w:r>
          </w:p>
        </w:tc>
        <w:tc>
          <w:tcPr>
            <w:tcW w:w="336" w:type="pct"/>
            <w:vMerge w:val="continue"/>
            <w:vAlign w:val="center"/>
          </w:tcPr>
          <w:p w14:paraId="2745B479">
            <w:pPr>
              <w:pStyle w:val="28"/>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695" w:type="pct"/>
            <w:vAlign w:val="center"/>
          </w:tcPr>
          <w:p w14:paraId="17F7A38D">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保持稳定或持续改善</w:t>
            </w:r>
          </w:p>
        </w:tc>
        <w:tc>
          <w:tcPr>
            <w:tcW w:w="694" w:type="pct"/>
            <w:vAlign w:val="center"/>
          </w:tcPr>
          <w:p w14:paraId="3D316E3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lang w:val="en-US" w:eastAsia="zh-CN"/>
              </w:rPr>
              <w:t>无</w:t>
            </w:r>
            <w:r>
              <w:rPr>
                <w:rFonts w:hint="eastAsia" w:ascii="仿宋_GB2312" w:hAnsi="仿宋_GB2312" w:eastAsia="仿宋_GB2312" w:cs="仿宋_GB2312"/>
                <w:spacing w:val="-2"/>
                <w:sz w:val="21"/>
                <w:szCs w:val="21"/>
              </w:rPr>
              <w:t>天然草原和人工牧草地</w:t>
            </w:r>
            <w:r>
              <w:rPr>
                <w:rFonts w:hint="eastAsia" w:ascii="仿宋_GB2312" w:hAnsi="仿宋_GB2312" w:eastAsia="仿宋_GB2312" w:cs="仿宋_GB2312"/>
                <w:spacing w:val="-2"/>
                <w:sz w:val="21"/>
                <w:szCs w:val="21"/>
                <w:lang w:eastAsia="zh-CN"/>
              </w:rPr>
              <w:t>，</w:t>
            </w:r>
            <w:r>
              <w:rPr>
                <w:rFonts w:hint="eastAsia" w:ascii="仿宋_GB2312" w:hAnsi="仿宋_GB2312" w:eastAsia="仿宋_GB2312" w:cs="仿宋_GB2312"/>
                <w:spacing w:val="-2"/>
                <w:sz w:val="21"/>
                <w:szCs w:val="21"/>
              </w:rPr>
              <w:t>其他草地为73%，</w:t>
            </w:r>
            <w:r>
              <w:rPr>
                <w:rFonts w:hint="eastAsia" w:ascii="仿宋_GB2312" w:hAnsi="仿宋_GB2312" w:eastAsia="仿宋_GB2312" w:cs="仿宋_GB2312"/>
                <w:spacing w:val="-2"/>
                <w:sz w:val="21"/>
                <w:szCs w:val="21"/>
                <w:lang w:val="en-US" w:eastAsia="zh-CN"/>
              </w:rPr>
              <w:t>为耕地后备资源。</w:t>
            </w:r>
          </w:p>
        </w:tc>
        <w:tc>
          <w:tcPr>
            <w:tcW w:w="603" w:type="pct"/>
            <w:vAlign w:val="center"/>
          </w:tcPr>
          <w:p w14:paraId="70FDD5CD">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rPr>
              <w:t>确定草原管理范围</w:t>
            </w:r>
            <w:r>
              <w:rPr>
                <w:rFonts w:hint="eastAsia" w:ascii="仿宋_GB2312" w:hAnsi="仿宋_GB2312" w:eastAsia="仿宋_GB2312" w:cs="仿宋_GB2312"/>
                <w:spacing w:val="-2"/>
                <w:sz w:val="21"/>
                <w:szCs w:val="21"/>
                <w:lang w:eastAsia="zh-CN"/>
              </w:rPr>
              <w:t>，</w:t>
            </w:r>
            <w:r>
              <w:rPr>
                <w:rFonts w:hint="eastAsia" w:ascii="仿宋_GB2312" w:hAnsi="仿宋_GB2312" w:eastAsia="仿宋_GB2312" w:cs="仿宋_GB2312"/>
                <w:spacing w:val="-2"/>
                <w:sz w:val="21"/>
                <w:szCs w:val="21"/>
                <w:lang w:val="en-US" w:eastAsia="zh-CN"/>
              </w:rPr>
              <w:t>提升草原</w:t>
            </w:r>
            <w:r>
              <w:rPr>
                <w:rFonts w:hint="eastAsia" w:ascii="仿宋_GB2312" w:hAnsi="仿宋_GB2312" w:eastAsia="仿宋_GB2312" w:cs="仿宋_GB2312"/>
                <w:spacing w:val="8"/>
                <w:sz w:val="21"/>
                <w:szCs w:val="21"/>
              </w:rPr>
              <w:t>综合植被盖度</w:t>
            </w:r>
            <w:r>
              <w:rPr>
                <w:rFonts w:hint="eastAsia" w:ascii="仿宋_GB2312" w:hAnsi="仿宋_GB2312" w:eastAsia="仿宋_GB2312" w:cs="仿宋_GB2312"/>
                <w:spacing w:val="8"/>
                <w:sz w:val="21"/>
                <w:szCs w:val="21"/>
                <w:lang w:eastAsia="zh-CN"/>
              </w:rPr>
              <w:t>，</w:t>
            </w:r>
            <w:r>
              <w:rPr>
                <w:rFonts w:hint="eastAsia" w:ascii="仿宋_GB2312" w:hAnsi="仿宋_GB2312" w:eastAsia="仿宋_GB2312" w:cs="仿宋_GB2312"/>
                <w:spacing w:val="-3"/>
                <w:position w:val="1"/>
                <w:sz w:val="21"/>
                <w:szCs w:val="21"/>
              </w:rPr>
              <w:t>≥</w:t>
            </w:r>
            <w:r>
              <w:rPr>
                <w:rFonts w:hint="eastAsia" w:ascii="仿宋_GB2312" w:hAnsi="仿宋_GB2312" w:eastAsia="仿宋_GB2312" w:cs="仿宋_GB2312"/>
                <w:spacing w:val="-2"/>
                <w:sz w:val="21"/>
                <w:szCs w:val="21"/>
              </w:rPr>
              <w:t>73%</w:t>
            </w:r>
          </w:p>
        </w:tc>
        <w:tc>
          <w:tcPr>
            <w:tcW w:w="602" w:type="pct"/>
            <w:vAlign w:val="center"/>
          </w:tcPr>
          <w:p w14:paraId="44F4C9A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rPr>
              <w:t>确定草原管理范围</w:t>
            </w:r>
            <w:r>
              <w:rPr>
                <w:rFonts w:hint="eastAsia" w:ascii="仿宋_GB2312" w:hAnsi="仿宋_GB2312" w:eastAsia="仿宋_GB2312" w:cs="仿宋_GB2312"/>
                <w:spacing w:val="-2"/>
                <w:sz w:val="21"/>
                <w:szCs w:val="21"/>
                <w:lang w:eastAsia="zh-CN"/>
              </w:rPr>
              <w:t>，</w:t>
            </w:r>
            <w:r>
              <w:rPr>
                <w:rFonts w:hint="eastAsia" w:ascii="仿宋_GB2312" w:hAnsi="仿宋_GB2312" w:eastAsia="仿宋_GB2312" w:cs="仿宋_GB2312"/>
                <w:spacing w:val="-2"/>
                <w:sz w:val="21"/>
                <w:szCs w:val="21"/>
                <w:lang w:val="en-US" w:eastAsia="zh-CN"/>
              </w:rPr>
              <w:t>提升草原</w:t>
            </w:r>
            <w:r>
              <w:rPr>
                <w:rFonts w:hint="eastAsia" w:ascii="仿宋_GB2312" w:hAnsi="仿宋_GB2312" w:eastAsia="仿宋_GB2312" w:cs="仿宋_GB2312"/>
                <w:spacing w:val="8"/>
                <w:sz w:val="21"/>
                <w:szCs w:val="21"/>
              </w:rPr>
              <w:t>综合植被盖度</w:t>
            </w:r>
            <w:r>
              <w:rPr>
                <w:rFonts w:hint="eastAsia" w:ascii="仿宋_GB2312" w:hAnsi="仿宋_GB2312" w:eastAsia="仿宋_GB2312" w:cs="仿宋_GB2312"/>
                <w:spacing w:val="8"/>
                <w:sz w:val="21"/>
                <w:szCs w:val="21"/>
                <w:lang w:eastAsia="zh-CN"/>
              </w:rPr>
              <w:t>，</w:t>
            </w:r>
            <w:r>
              <w:rPr>
                <w:rFonts w:hint="eastAsia" w:ascii="仿宋_GB2312" w:hAnsi="仿宋_GB2312" w:eastAsia="仿宋_GB2312" w:cs="仿宋_GB2312"/>
                <w:spacing w:val="8"/>
                <w:sz w:val="21"/>
                <w:szCs w:val="21"/>
                <w:lang w:val="en-US" w:eastAsia="zh-CN"/>
              </w:rPr>
              <w:t>&gt;</w:t>
            </w:r>
            <w:r>
              <w:rPr>
                <w:rFonts w:hint="eastAsia" w:ascii="仿宋_GB2312" w:hAnsi="仿宋_GB2312" w:eastAsia="仿宋_GB2312" w:cs="仿宋_GB2312"/>
                <w:spacing w:val="-2"/>
                <w:sz w:val="21"/>
                <w:szCs w:val="21"/>
              </w:rPr>
              <w:t>73%</w:t>
            </w:r>
          </w:p>
        </w:tc>
      </w:tr>
      <w:tr w14:paraId="7F20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00B649BF">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restart"/>
            <w:vAlign w:val="top"/>
          </w:tcPr>
          <w:p w14:paraId="1335FB2B">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p w14:paraId="4B7201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（四）</w:t>
            </w:r>
          </w:p>
          <w:p w14:paraId="6322E85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7"/>
                <w:sz w:val="21"/>
                <w:szCs w:val="21"/>
              </w:rPr>
              <w:t>生态环境</w:t>
            </w:r>
          </w:p>
          <w:p w14:paraId="0FC8BD4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风</w:t>
            </w:r>
            <w:r>
              <w:rPr>
                <w:rFonts w:hint="eastAsia" w:ascii="仿宋_GB2312" w:hAnsi="仿宋_GB2312" w:eastAsia="仿宋_GB2312" w:cs="仿宋_GB2312"/>
                <w:spacing w:val="3"/>
                <w:sz w:val="21"/>
                <w:szCs w:val="21"/>
              </w:rPr>
              <w:t>险防范</w:t>
            </w:r>
          </w:p>
        </w:tc>
        <w:tc>
          <w:tcPr>
            <w:tcW w:w="279" w:type="pct"/>
            <w:vAlign w:val="center"/>
          </w:tcPr>
          <w:p w14:paraId="6BFB15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775" w:type="pct"/>
            <w:vAlign w:val="center"/>
          </w:tcPr>
          <w:p w14:paraId="491CBBDA">
            <w:pPr>
              <w:keepNext w:val="0"/>
              <w:keepLines w:val="0"/>
              <w:pageBreakBefore w:val="0"/>
              <w:widowControl/>
              <w:kinsoku w:val="0"/>
              <w:wordWrap/>
              <w:overflowPunct/>
              <w:topLinePunct w:val="0"/>
              <w:autoSpaceDE w:val="0"/>
              <w:autoSpaceDN w:val="0"/>
              <w:bidi w:val="0"/>
              <w:adjustRightInd w:val="0"/>
              <w:snapToGrid w:val="0"/>
              <w:spacing w:line="240" w:lineRule="auto"/>
              <w:ind w:left="9"/>
              <w:jc w:val="both"/>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受污染耕地安全利用率*</w:t>
            </w:r>
          </w:p>
        </w:tc>
        <w:tc>
          <w:tcPr>
            <w:tcW w:w="336" w:type="pct"/>
            <w:vAlign w:val="center"/>
          </w:tcPr>
          <w:p w14:paraId="7ADC03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position w:val="1"/>
                <w:sz w:val="21"/>
                <w:szCs w:val="21"/>
              </w:rPr>
              <w:t>%</w:t>
            </w:r>
          </w:p>
        </w:tc>
        <w:tc>
          <w:tcPr>
            <w:tcW w:w="695" w:type="pct"/>
            <w:vAlign w:val="center"/>
          </w:tcPr>
          <w:p w14:paraId="3EFC8E05">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position w:val="1"/>
                <w:sz w:val="21"/>
                <w:szCs w:val="21"/>
              </w:rPr>
              <w:t>≥93</w:t>
            </w:r>
          </w:p>
        </w:tc>
        <w:tc>
          <w:tcPr>
            <w:tcW w:w="694" w:type="pct"/>
            <w:vAlign w:val="center"/>
          </w:tcPr>
          <w:p w14:paraId="6F8D5E5A">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3"/>
                <w:position w:val="1"/>
                <w:sz w:val="21"/>
                <w:szCs w:val="21"/>
                <w:lang w:val="en-US" w:eastAsia="zh-CN"/>
              </w:rPr>
            </w:pPr>
            <w:r>
              <w:rPr>
                <w:rFonts w:hint="eastAsia" w:ascii="仿宋_GB2312" w:hAnsi="仿宋_GB2312" w:eastAsia="仿宋_GB2312" w:cs="仿宋_GB2312"/>
                <w:spacing w:val="-3"/>
                <w:position w:val="1"/>
                <w:sz w:val="21"/>
                <w:szCs w:val="21"/>
                <w:lang w:val="en-US" w:eastAsia="zh-CN"/>
              </w:rPr>
              <w:t>100</w:t>
            </w:r>
          </w:p>
        </w:tc>
        <w:tc>
          <w:tcPr>
            <w:tcW w:w="603" w:type="pct"/>
            <w:vAlign w:val="center"/>
          </w:tcPr>
          <w:p w14:paraId="713A555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3"/>
                <w:position w:val="1"/>
                <w:sz w:val="21"/>
                <w:szCs w:val="21"/>
                <w:lang w:val="en-US" w:eastAsia="zh-CN"/>
              </w:rPr>
            </w:pPr>
            <w:r>
              <w:rPr>
                <w:rFonts w:hint="eastAsia" w:ascii="仿宋_GB2312" w:hAnsi="仿宋_GB2312" w:eastAsia="仿宋_GB2312" w:cs="仿宋_GB2312"/>
                <w:spacing w:val="-3"/>
                <w:position w:val="1"/>
                <w:sz w:val="21"/>
                <w:szCs w:val="21"/>
                <w:lang w:val="en-US" w:eastAsia="zh-CN"/>
              </w:rPr>
              <w:t>100</w:t>
            </w:r>
          </w:p>
        </w:tc>
        <w:tc>
          <w:tcPr>
            <w:tcW w:w="602" w:type="pct"/>
            <w:vAlign w:val="center"/>
          </w:tcPr>
          <w:p w14:paraId="2FD5723C">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position w:val="1"/>
                <w:sz w:val="21"/>
                <w:szCs w:val="21"/>
                <w:lang w:val="en-US" w:eastAsia="zh-CN"/>
              </w:rPr>
            </w:pPr>
            <w:r>
              <w:rPr>
                <w:rFonts w:hint="eastAsia" w:ascii="仿宋_GB2312" w:hAnsi="仿宋_GB2312" w:eastAsia="仿宋_GB2312" w:cs="仿宋_GB2312"/>
                <w:spacing w:val="-3"/>
                <w:position w:val="1"/>
                <w:sz w:val="21"/>
                <w:szCs w:val="21"/>
                <w:lang w:val="en-US" w:eastAsia="zh-CN"/>
              </w:rPr>
              <w:t>100</w:t>
            </w:r>
          </w:p>
        </w:tc>
      </w:tr>
      <w:tr w14:paraId="1C63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718768AC">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2CE53649">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279" w:type="pct"/>
            <w:vAlign w:val="center"/>
          </w:tcPr>
          <w:p w14:paraId="44D480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w:t>
            </w:r>
          </w:p>
        </w:tc>
        <w:tc>
          <w:tcPr>
            <w:tcW w:w="775" w:type="pct"/>
            <w:vAlign w:val="center"/>
          </w:tcPr>
          <w:p w14:paraId="5471628F">
            <w:pPr>
              <w:keepNext w:val="0"/>
              <w:keepLines w:val="0"/>
              <w:pageBreakBefore w:val="0"/>
              <w:widowControl/>
              <w:kinsoku w:val="0"/>
              <w:wordWrap/>
              <w:overflowPunct/>
              <w:topLinePunct w:val="0"/>
              <w:autoSpaceDE w:val="0"/>
              <w:autoSpaceDN w:val="0"/>
              <w:bidi w:val="0"/>
              <w:adjustRightInd w:val="0"/>
              <w:snapToGrid w:val="0"/>
              <w:spacing w:line="240" w:lineRule="auto"/>
              <w:ind w:left="5"/>
              <w:jc w:val="both"/>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重点建设用地安全利用</w:t>
            </w:r>
          </w:p>
        </w:tc>
        <w:tc>
          <w:tcPr>
            <w:tcW w:w="336" w:type="pct"/>
            <w:vAlign w:val="center"/>
          </w:tcPr>
          <w:p w14:paraId="08ECFF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3"/>
                <w:sz w:val="21"/>
                <w:szCs w:val="21"/>
              </w:rPr>
              <w:t>-</w:t>
            </w:r>
          </w:p>
        </w:tc>
        <w:tc>
          <w:tcPr>
            <w:tcW w:w="695" w:type="pct"/>
            <w:vAlign w:val="center"/>
          </w:tcPr>
          <w:p w14:paraId="6CD4CD7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有效保障</w:t>
            </w:r>
          </w:p>
        </w:tc>
        <w:tc>
          <w:tcPr>
            <w:tcW w:w="694" w:type="pct"/>
            <w:vAlign w:val="center"/>
          </w:tcPr>
          <w:p w14:paraId="4E2051D9">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7"/>
                <w:sz w:val="21"/>
                <w:szCs w:val="21"/>
              </w:rPr>
              <w:t>有效保障</w:t>
            </w:r>
          </w:p>
        </w:tc>
        <w:tc>
          <w:tcPr>
            <w:tcW w:w="603" w:type="pct"/>
            <w:vAlign w:val="center"/>
          </w:tcPr>
          <w:p w14:paraId="0B23D163">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7"/>
                <w:sz w:val="21"/>
                <w:szCs w:val="21"/>
              </w:rPr>
              <w:t>有效保障</w:t>
            </w:r>
          </w:p>
        </w:tc>
        <w:tc>
          <w:tcPr>
            <w:tcW w:w="602" w:type="pct"/>
            <w:vAlign w:val="center"/>
          </w:tcPr>
          <w:p w14:paraId="74BCEF0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7"/>
                <w:sz w:val="21"/>
                <w:szCs w:val="21"/>
              </w:rPr>
              <w:t>有效保障</w:t>
            </w:r>
          </w:p>
        </w:tc>
      </w:tr>
      <w:tr w14:paraId="58F0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10F37CCC">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522A6D3A">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279" w:type="pct"/>
            <w:vAlign w:val="center"/>
          </w:tcPr>
          <w:p w14:paraId="6D278E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10</w:t>
            </w:r>
          </w:p>
        </w:tc>
        <w:tc>
          <w:tcPr>
            <w:tcW w:w="775" w:type="pct"/>
            <w:vAlign w:val="center"/>
          </w:tcPr>
          <w:p w14:paraId="68280788">
            <w:pPr>
              <w:keepNext w:val="0"/>
              <w:keepLines w:val="0"/>
              <w:pageBreakBefore w:val="0"/>
              <w:widowControl/>
              <w:kinsoku w:val="0"/>
              <w:wordWrap/>
              <w:overflowPunct/>
              <w:topLinePunct w:val="0"/>
              <w:autoSpaceDE w:val="0"/>
              <w:autoSpaceDN w:val="0"/>
              <w:bidi w:val="0"/>
              <w:adjustRightInd w:val="0"/>
              <w:snapToGrid w:val="0"/>
              <w:spacing w:line="240" w:lineRule="auto"/>
              <w:ind w:left="9"/>
              <w:jc w:val="both"/>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外来物种入侵防控</w:t>
            </w:r>
          </w:p>
        </w:tc>
        <w:tc>
          <w:tcPr>
            <w:tcW w:w="336" w:type="pct"/>
            <w:vAlign w:val="center"/>
          </w:tcPr>
          <w:p w14:paraId="276293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3"/>
                <w:sz w:val="21"/>
                <w:szCs w:val="21"/>
              </w:rPr>
              <w:t>-</w:t>
            </w:r>
          </w:p>
        </w:tc>
        <w:tc>
          <w:tcPr>
            <w:tcW w:w="695" w:type="pct"/>
            <w:vAlign w:val="center"/>
          </w:tcPr>
          <w:p w14:paraId="0B3F6976">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有效开展</w:t>
            </w:r>
          </w:p>
        </w:tc>
        <w:tc>
          <w:tcPr>
            <w:tcW w:w="694" w:type="pct"/>
            <w:vAlign w:val="center"/>
          </w:tcPr>
          <w:p w14:paraId="711E81BA">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7"/>
                <w:sz w:val="21"/>
                <w:szCs w:val="21"/>
              </w:rPr>
              <w:t>有效开展</w:t>
            </w:r>
          </w:p>
        </w:tc>
        <w:tc>
          <w:tcPr>
            <w:tcW w:w="603" w:type="pct"/>
            <w:vAlign w:val="center"/>
          </w:tcPr>
          <w:p w14:paraId="18E77528">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7"/>
                <w:sz w:val="21"/>
                <w:szCs w:val="21"/>
              </w:rPr>
              <w:t>有效开展</w:t>
            </w:r>
          </w:p>
        </w:tc>
        <w:tc>
          <w:tcPr>
            <w:tcW w:w="602" w:type="pct"/>
            <w:vAlign w:val="center"/>
          </w:tcPr>
          <w:p w14:paraId="6E266AA1">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7"/>
                <w:sz w:val="21"/>
                <w:szCs w:val="21"/>
              </w:rPr>
              <w:t>有效开展</w:t>
            </w:r>
          </w:p>
        </w:tc>
      </w:tr>
      <w:tr w14:paraId="56CB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0D2092EB">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2191FCB8">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p>
        </w:tc>
        <w:tc>
          <w:tcPr>
            <w:tcW w:w="279" w:type="pct"/>
            <w:vAlign w:val="center"/>
          </w:tcPr>
          <w:p w14:paraId="03E276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11</w:t>
            </w:r>
          </w:p>
        </w:tc>
        <w:tc>
          <w:tcPr>
            <w:tcW w:w="775" w:type="pct"/>
            <w:vAlign w:val="center"/>
          </w:tcPr>
          <w:p w14:paraId="6B904F05">
            <w:pPr>
              <w:keepNext w:val="0"/>
              <w:keepLines w:val="0"/>
              <w:pageBreakBefore w:val="0"/>
              <w:widowControl/>
              <w:kinsoku w:val="0"/>
              <w:wordWrap/>
              <w:overflowPunct/>
              <w:topLinePunct w:val="0"/>
              <w:autoSpaceDE w:val="0"/>
              <w:autoSpaceDN w:val="0"/>
              <w:bidi w:val="0"/>
              <w:adjustRightInd w:val="0"/>
              <w:snapToGrid w:val="0"/>
              <w:spacing w:line="240" w:lineRule="auto"/>
              <w:ind w:left="11"/>
              <w:jc w:val="both"/>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突发环境事件应急管理机制</w:t>
            </w:r>
          </w:p>
        </w:tc>
        <w:tc>
          <w:tcPr>
            <w:tcW w:w="336" w:type="pct"/>
            <w:vAlign w:val="center"/>
          </w:tcPr>
          <w:p w14:paraId="12AC4C24">
            <w:pPr>
              <w:pStyle w:val="28"/>
              <w:keepNext w:val="0"/>
              <w:keepLines w:val="0"/>
              <w:pageBreakBefore w:val="0"/>
              <w:widowControl/>
              <w:tabs>
                <w:tab w:val="left" w:pos="427"/>
              </w:tabs>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p>
        </w:tc>
        <w:tc>
          <w:tcPr>
            <w:tcW w:w="695" w:type="pct"/>
            <w:vAlign w:val="center"/>
          </w:tcPr>
          <w:p w14:paraId="783D23D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建立</w:t>
            </w:r>
          </w:p>
        </w:tc>
        <w:tc>
          <w:tcPr>
            <w:tcW w:w="694" w:type="pct"/>
            <w:vAlign w:val="center"/>
          </w:tcPr>
          <w:p w14:paraId="2380B53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建立</w:t>
            </w:r>
          </w:p>
        </w:tc>
        <w:tc>
          <w:tcPr>
            <w:tcW w:w="603" w:type="pct"/>
            <w:vAlign w:val="center"/>
          </w:tcPr>
          <w:p w14:paraId="17ECC6E1">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建立</w:t>
            </w:r>
          </w:p>
        </w:tc>
        <w:tc>
          <w:tcPr>
            <w:tcW w:w="602" w:type="pct"/>
            <w:vAlign w:val="center"/>
          </w:tcPr>
          <w:p w14:paraId="71A4202D">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建立</w:t>
            </w:r>
          </w:p>
        </w:tc>
      </w:tr>
      <w:tr w14:paraId="7397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restart"/>
            <w:vAlign w:val="top"/>
          </w:tcPr>
          <w:p w14:paraId="26AFD331">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7BA52A38">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6D416530">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p w14:paraId="58E18B0A">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lang w:val="en-US" w:eastAsia="zh-CN"/>
              </w:rPr>
            </w:pPr>
          </w:p>
          <w:p w14:paraId="75270AFB">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生态</w:t>
            </w:r>
          </w:p>
          <w:p w14:paraId="685FC1A5">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sz w:val="21"/>
                <w:szCs w:val="21"/>
                <w:lang w:val="en-US" w:eastAsia="zh-CN"/>
              </w:rPr>
              <w:t>经济</w:t>
            </w:r>
          </w:p>
        </w:tc>
        <w:tc>
          <w:tcPr>
            <w:tcW w:w="642" w:type="pct"/>
            <w:vAlign w:val="top"/>
          </w:tcPr>
          <w:p w14:paraId="6E3FBBD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（五）</w:t>
            </w:r>
          </w:p>
          <w:p w14:paraId="3AA529F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8"/>
                <w:sz w:val="21"/>
                <w:szCs w:val="21"/>
              </w:rPr>
              <w:t>节能减排</w:t>
            </w:r>
          </w:p>
          <w:p w14:paraId="00B961E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8"/>
                <w:sz w:val="21"/>
                <w:szCs w:val="21"/>
              </w:rPr>
              <w:t>降</w:t>
            </w:r>
            <w:r>
              <w:rPr>
                <w:rFonts w:hint="eastAsia" w:ascii="仿宋_GB2312" w:hAnsi="仿宋_GB2312" w:eastAsia="仿宋_GB2312" w:cs="仿宋_GB2312"/>
                <w:spacing w:val="7"/>
                <w:sz w:val="21"/>
                <w:szCs w:val="21"/>
              </w:rPr>
              <w:t>碳增效</w:t>
            </w:r>
          </w:p>
        </w:tc>
        <w:tc>
          <w:tcPr>
            <w:tcW w:w="279" w:type="pct"/>
            <w:vAlign w:val="center"/>
          </w:tcPr>
          <w:p w14:paraId="248FA8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sz w:val="21"/>
                <w:szCs w:val="21"/>
              </w:rPr>
              <w:t>12</w:t>
            </w:r>
          </w:p>
        </w:tc>
        <w:tc>
          <w:tcPr>
            <w:tcW w:w="775" w:type="pct"/>
            <w:vAlign w:val="center"/>
          </w:tcPr>
          <w:p w14:paraId="72B16226">
            <w:pPr>
              <w:keepNext w:val="0"/>
              <w:keepLines w:val="0"/>
              <w:pageBreakBefore w:val="0"/>
              <w:widowControl/>
              <w:kinsoku w:val="0"/>
              <w:wordWrap/>
              <w:overflowPunct/>
              <w:topLinePunct w:val="0"/>
              <w:autoSpaceDE w:val="0"/>
              <w:autoSpaceDN w:val="0"/>
              <w:bidi w:val="0"/>
              <w:adjustRightInd w:val="0"/>
              <w:snapToGrid w:val="0"/>
              <w:spacing w:line="240" w:lineRule="auto"/>
              <w:ind w:left="4" w:leftChars="0" w:right="2" w:rightChars="0" w:firstLine="1" w:firstLineChars="0"/>
              <w:jc w:val="both"/>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13"/>
                <w:sz w:val="21"/>
                <w:szCs w:val="21"/>
              </w:rPr>
              <w:t>新增和更新公共汽电车中新能源和清洁能源车</w:t>
            </w:r>
            <w:r>
              <w:rPr>
                <w:rFonts w:hint="eastAsia" w:ascii="仿宋_GB2312" w:hAnsi="仿宋_GB2312" w:eastAsia="仿宋_GB2312" w:cs="仿宋_GB2312"/>
                <w:spacing w:val="7"/>
                <w:sz w:val="21"/>
                <w:szCs w:val="21"/>
              </w:rPr>
              <w:t>辆比例</w:t>
            </w:r>
          </w:p>
        </w:tc>
        <w:tc>
          <w:tcPr>
            <w:tcW w:w="336" w:type="pct"/>
            <w:vAlign w:val="center"/>
          </w:tcPr>
          <w:p w14:paraId="4F41F9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position w:val="1"/>
                <w:sz w:val="21"/>
                <w:szCs w:val="21"/>
              </w:rPr>
              <w:t>%</w:t>
            </w:r>
          </w:p>
        </w:tc>
        <w:tc>
          <w:tcPr>
            <w:tcW w:w="695" w:type="pct"/>
            <w:vAlign w:val="center"/>
          </w:tcPr>
          <w:p w14:paraId="474DAEAA">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position w:val="1"/>
                <w:sz w:val="21"/>
                <w:szCs w:val="21"/>
              </w:rPr>
              <w:t>≥80</w:t>
            </w:r>
          </w:p>
        </w:tc>
        <w:tc>
          <w:tcPr>
            <w:tcW w:w="694" w:type="pct"/>
            <w:vAlign w:val="center"/>
          </w:tcPr>
          <w:p w14:paraId="5C37C0FF">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position w:val="1"/>
                <w:sz w:val="21"/>
                <w:szCs w:val="21"/>
              </w:rPr>
            </w:pPr>
            <w:r>
              <w:rPr>
                <w:rFonts w:hint="eastAsia" w:ascii="仿宋_GB2312" w:hAnsi="仿宋_GB2312" w:eastAsia="仿宋_GB2312" w:cs="仿宋_GB2312"/>
                <w:spacing w:val="-3"/>
                <w:position w:val="1"/>
                <w:sz w:val="21"/>
                <w:szCs w:val="21"/>
              </w:rPr>
              <w:t>100</w:t>
            </w:r>
          </w:p>
        </w:tc>
        <w:tc>
          <w:tcPr>
            <w:tcW w:w="603" w:type="pct"/>
            <w:vAlign w:val="center"/>
          </w:tcPr>
          <w:p w14:paraId="2920BA7A">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position w:val="1"/>
                <w:sz w:val="21"/>
                <w:szCs w:val="21"/>
              </w:rPr>
            </w:pPr>
            <w:r>
              <w:rPr>
                <w:rFonts w:hint="eastAsia" w:ascii="仿宋_GB2312" w:hAnsi="仿宋_GB2312" w:eastAsia="仿宋_GB2312" w:cs="仿宋_GB2312"/>
                <w:spacing w:val="-3"/>
                <w:position w:val="1"/>
                <w:sz w:val="21"/>
                <w:szCs w:val="21"/>
              </w:rPr>
              <w:t>100</w:t>
            </w:r>
          </w:p>
        </w:tc>
        <w:tc>
          <w:tcPr>
            <w:tcW w:w="602" w:type="pct"/>
            <w:vAlign w:val="center"/>
          </w:tcPr>
          <w:p w14:paraId="1CE3C79F">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position w:val="1"/>
                <w:sz w:val="21"/>
                <w:szCs w:val="21"/>
              </w:rPr>
            </w:pPr>
            <w:r>
              <w:rPr>
                <w:rFonts w:hint="eastAsia" w:ascii="仿宋_GB2312" w:hAnsi="仿宋_GB2312" w:eastAsia="仿宋_GB2312" w:cs="仿宋_GB2312"/>
                <w:spacing w:val="-3"/>
                <w:position w:val="1"/>
                <w:sz w:val="21"/>
                <w:szCs w:val="21"/>
              </w:rPr>
              <w:t>100</w:t>
            </w:r>
          </w:p>
        </w:tc>
      </w:tr>
      <w:tr w14:paraId="0852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159B82FC">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restart"/>
            <w:vAlign w:val="top"/>
          </w:tcPr>
          <w:p w14:paraId="739881E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rPr>
                <w:rFonts w:hint="eastAsia" w:ascii="仿宋_GB2312" w:hAnsi="仿宋_GB2312" w:eastAsia="仿宋_GB2312" w:cs="仿宋_GB2312"/>
                <w:snapToGrid w:val="0"/>
                <w:color w:val="000000"/>
                <w:kern w:val="0"/>
                <w:sz w:val="21"/>
                <w:szCs w:val="21"/>
                <w:lang w:val="en-US" w:eastAsia="zh-CN" w:bidi="ar"/>
              </w:rPr>
            </w:pPr>
          </w:p>
          <w:p w14:paraId="4F41246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rPr>
                <w:rFonts w:hint="eastAsia" w:ascii="仿宋_GB2312" w:hAnsi="仿宋_GB2312" w:eastAsia="仿宋_GB2312" w:cs="仿宋_GB2312"/>
                <w:snapToGrid w:val="0"/>
                <w:color w:val="000000"/>
                <w:kern w:val="0"/>
                <w:sz w:val="21"/>
                <w:szCs w:val="21"/>
                <w:lang w:val="en-US" w:eastAsia="zh-CN" w:bidi="ar"/>
              </w:rPr>
            </w:pPr>
          </w:p>
          <w:p w14:paraId="4C94BA5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（六）</w:t>
            </w:r>
          </w:p>
          <w:p w14:paraId="127405D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资源节约</w:t>
            </w:r>
          </w:p>
          <w:p w14:paraId="0DAC61C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napToGrid w:val="0"/>
                <w:color w:val="000000"/>
                <w:kern w:val="0"/>
                <w:sz w:val="21"/>
                <w:szCs w:val="21"/>
                <w:lang w:val="en-US" w:eastAsia="zh-CN" w:bidi="ar"/>
              </w:rPr>
              <w:t>集约</w:t>
            </w:r>
          </w:p>
        </w:tc>
        <w:tc>
          <w:tcPr>
            <w:tcW w:w="279" w:type="pct"/>
            <w:vAlign w:val="center"/>
          </w:tcPr>
          <w:p w14:paraId="0F497F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sz w:val="21"/>
                <w:szCs w:val="21"/>
              </w:rPr>
              <w:t>13</w:t>
            </w:r>
          </w:p>
        </w:tc>
        <w:tc>
          <w:tcPr>
            <w:tcW w:w="775" w:type="pct"/>
            <w:vAlign w:val="center"/>
          </w:tcPr>
          <w:p w14:paraId="50F071B0">
            <w:pPr>
              <w:keepNext w:val="0"/>
              <w:keepLines w:val="0"/>
              <w:pageBreakBefore w:val="0"/>
              <w:widowControl/>
              <w:kinsoku w:val="0"/>
              <w:wordWrap/>
              <w:overflowPunct/>
              <w:topLinePunct w:val="0"/>
              <w:autoSpaceDE w:val="0"/>
              <w:autoSpaceDN w:val="0"/>
              <w:bidi w:val="0"/>
              <w:adjustRightInd w:val="0"/>
              <w:snapToGrid w:val="0"/>
              <w:spacing w:line="240" w:lineRule="auto"/>
              <w:ind w:left="9" w:leftChars="0"/>
              <w:jc w:val="both"/>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8"/>
                <w:sz w:val="21"/>
                <w:szCs w:val="21"/>
              </w:rPr>
              <w:t>万元工业增加值用水量下降率</w:t>
            </w:r>
          </w:p>
        </w:tc>
        <w:tc>
          <w:tcPr>
            <w:tcW w:w="336" w:type="pct"/>
            <w:vAlign w:val="center"/>
          </w:tcPr>
          <w:p w14:paraId="619BCF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position w:val="1"/>
                <w:sz w:val="21"/>
                <w:szCs w:val="21"/>
              </w:rPr>
              <w:t>%</w:t>
            </w:r>
          </w:p>
        </w:tc>
        <w:tc>
          <w:tcPr>
            <w:tcW w:w="695" w:type="pct"/>
            <w:vAlign w:val="center"/>
          </w:tcPr>
          <w:p w14:paraId="5BB5CC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61" w:righ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sz w:val="21"/>
                <w:szCs w:val="21"/>
              </w:rPr>
              <w:t>完成上级规定的考核任务</w:t>
            </w:r>
          </w:p>
        </w:tc>
        <w:tc>
          <w:tcPr>
            <w:tcW w:w="694" w:type="pct"/>
            <w:vAlign w:val="center"/>
          </w:tcPr>
          <w:p w14:paraId="75534B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61" w:rightChars="0" w:firstLine="0" w:firstLineChars="0"/>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完成上级规定的考核任务</w:t>
            </w:r>
            <w:r>
              <w:rPr>
                <w:rFonts w:hint="eastAsia" w:ascii="仿宋_GB2312" w:hAnsi="仿宋_GB2312" w:eastAsia="仿宋_GB2312" w:cs="仿宋_GB2312"/>
                <w:spacing w:val="-2"/>
                <w:sz w:val="21"/>
                <w:szCs w:val="21"/>
                <w:lang w:eastAsia="zh-CN"/>
              </w:rPr>
              <w:t>；</w:t>
            </w:r>
            <w:r>
              <w:rPr>
                <w:rFonts w:hint="eastAsia" w:ascii="仿宋_GB2312" w:hAnsi="仿宋_GB2312" w:eastAsia="仿宋_GB2312" w:cs="仿宋_GB2312"/>
                <w:spacing w:val="-2"/>
                <w:sz w:val="21"/>
                <w:szCs w:val="21"/>
              </w:rPr>
              <w:t>30.43</w:t>
            </w:r>
          </w:p>
        </w:tc>
        <w:tc>
          <w:tcPr>
            <w:tcW w:w="603" w:type="pct"/>
            <w:vAlign w:val="center"/>
          </w:tcPr>
          <w:p w14:paraId="4B9EF4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61" w:rightChars="0" w:firstLine="0" w:firstLineChars="0"/>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完成上级规定的考核任务</w:t>
            </w:r>
          </w:p>
        </w:tc>
        <w:tc>
          <w:tcPr>
            <w:tcW w:w="602" w:type="pct"/>
            <w:vAlign w:val="center"/>
          </w:tcPr>
          <w:p w14:paraId="553F18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61" w:rightChars="0" w:firstLine="0" w:firstLineChars="0"/>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完成上级规定的考核任务</w:t>
            </w:r>
          </w:p>
        </w:tc>
      </w:tr>
      <w:tr w14:paraId="7234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43707CEA">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19C415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Pr>
                <w:rFonts w:hint="eastAsia" w:ascii="仿宋_GB2312" w:hAnsi="仿宋_GB2312" w:eastAsia="仿宋_GB2312" w:cs="仿宋_GB2312"/>
                <w:spacing w:val="7"/>
                <w:sz w:val="21"/>
                <w:szCs w:val="21"/>
              </w:rPr>
            </w:pPr>
          </w:p>
        </w:tc>
        <w:tc>
          <w:tcPr>
            <w:tcW w:w="279" w:type="pct"/>
            <w:vAlign w:val="center"/>
          </w:tcPr>
          <w:p w14:paraId="24BE0C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sz w:val="21"/>
                <w:szCs w:val="21"/>
              </w:rPr>
              <w:t>14</w:t>
            </w:r>
          </w:p>
        </w:tc>
        <w:tc>
          <w:tcPr>
            <w:tcW w:w="775" w:type="pct"/>
            <w:vAlign w:val="center"/>
          </w:tcPr>
          <w:p w14:paraId="5F55289D">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both"/>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8"/>
                <w:sz w:val="21"/>
                <w:szCs w:val="21"/>
              </w:rPr>
              <w:t>农田灌溉水有效利用系数*</w:t>
            </w:r>
          </w:p>
        </w:tc>
        <w:tc>
          <w:tcPr>
            <w:tcW w:w="336" w:type="pct"/>
            <w:vAlign w:val="center"/>
          </w:tcPr>
          <w:p w14:paraId="6CF3CB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position w:val="1"/>
                <w:sz w:val="21"/>
                <w:szCs w:val="21"/>
              </w:rPr>
              <w:t>%</w:t>
            </w:r>
          </w:p>
        </w:tc>
        <w:tc>
          <w:tcPr>
            <w:tcW w:w="695" w:type="pct"/>
            <w:vAlign w:val="center"/>
          </w:tcPr>
          <w:p w14:paraId="2EA67584">
            <w:pPr>
              <w:keepNext w:val="0"/>
              <w:keepLines w:val="0"/>
              <w:pageBreakBefore w:val="0"/>
              <w:widowControl/>
              <w:kinsoku w:val="0"/>
              <w:wordWrap/>
              <w:overflowPunct/>
              <w:topLinePunct w:val="0"/>
              <w:autoSpaceDE w:val="0"/>
              <w:autoSpaceDN w:val="0"/>
              <w:bidi w:val="0"/>
              <w:adjustRightInd w:val="0"/>
              <w:snapToGrid w:val="0"/>
              <w:spacing w:line="240" w:lineRule="auto"/>
              <w:ind w:left="10" w:leftChars="0" w:right="61" w:rightChars="0" w:firstLine="62"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sz w:val="21"/>
                <w:szCs w:val="21"/>
              </w:rPr>
              <w:t>完成上级规定的考核任务</w:t>
            </w:r>
          </w:p>
        </w:tc>
        <w:tc>
          <w:tcPr>
            <w:tcW w:w="694" w:type="pct"/>
            <w:vAlign w:val="center"/>
          </w:tcPr>
          <w:p w14:paraId="478B8F68">
            <w:pPr>
              <w:keepNext w:val="0"/>
              <w:keepLines w:val="0"/>
              <w:pageBreakBefore w:val="0"/>
              <w:widowControl/>
              <w:kinsoku w:val="0"/>
              <w:wordWrap/>
              <w:overflowPunct/>
              <w:topLinePunct w:val="0"/>
              <w:autoSpaceDE w:val="0"/>
              <w:autoSpaceDN w:val="0"/>
              <w:bidi w:val="0"/>
              <w:adjustRightInd w:val="0"/>
              <w:snapToGrid w:val="0"/>
              <w:spacing w:line="240" w:lineRule="auto"/>
              <w:ind w:left="10" w:leftChars="0" w:right="61" w:rightChars="0" w:firstLine="62" w:firstLineChars="0"/>
              <w:jc w:val="center"/>
              <w:rPr>
                <w:rFonts w:hint="eastAsia" w:ascii="Arial" w:hAnsi="Arial" w:eastAsia="Arial" w:cs="Arial"/>
                <w:snapToGrid w:val="0"/>
                <w:color w:val="000000"/>
                <w:kern w:val="0"/>
                <w:sz w:val="21"/>
                <w:szCs w:val="21"/>
                <w:lang w:val="en-US" w:eastAsia="en-US" w:bidi="ar-SA"/>
              </w:rPr>
            </w:pPr>
            <w:r>
              <w:rPr>
                <w:rFonts w:hint="eastAsia" w:ascii="仿宋_GB2312" w:hAnsi="仿宋_GB2312" w:eastAsia="仿宋_GB2312" w:cs="仿宋_GB2312"/>
                <w:spacing w:val="-2"/>
                <w:sz w:val="21"/>
                <w:szCs w:val="21"/>
              </w:rPr>
              <w:t>完成上级规定的考核任务</w:t>
            </w:r>
            <w:r>
              <w:rPr>
                <w:rFonts w:hint="eastAsia" w:ascii="仿宋_GB2312" w:hAnsi="仿宋_GB2312" w:eastAsia="仿宋_GB2312" w:cs="仿宋_GB2312"/>
                <w:spacing w:val="-2"/>
                <w:sz w:val="21"/>
                <w:szCs w:val="21"/>
                <w:lang w:eastAsia="zh-CN"/>
              </w:rPr>
              <w:t>；</w:t>
            </w:r>
            <w:r>
              <w:rPr>
                <w:rFonts w:hint="eastAsia" w:ascii="仿宋_GB2312" w:hAnsi="仿宋_GB2312" w:eastAsia="仿宋_GB2312" w:cs="仿宋_GB2312"/>
                <w:spacing w:val="-2"/>
                <w:sz w:val="21"/>
                <w:szCs w:val="21"/>
              </w:rPr>
              <w:t>0.61</w:t>
            </w:r>
          </w:p>
        </w:tc>
        <w:tc>
          <w:tcPr>
            <w:tcW w:w="603" w:type="pct"/>
            <w:vAlign w:val="center"/>
          </w:tcPr>
          <w:p w14:paraId="4361323C">
            <w:pPr>
              <w:keepNext w:val="0"/>
              <w:keepLines w:val="0"/>
              <w:pageBreakBefore w:val="0"/>
              <w:widowControl/>
              <w:kinsoku w:val="0"/>
              <w:wordWrap/>
              <w:overflowPunct/>
              <w:topLinePunct w:val="0"/>
              <w:autoSpaceDE w:val="0"/>
              <w:autoSpaceDN w:val="0"/>
              <w:bidi w:val="0"/>
              <w:adjustRightInd w:val="0"/>
              <w:snapToGrid w:val="0"/>
              <w:spacing w:line="240" w:lineRule="auto"/>
              <w:ind w:left="10" w:leftChars="0" w:right="61" w:rightChars="0" w:firstLine="62" w:firstLineChars="0"/>
              <w:jc w:val="center"/>
              <w:rPr>
                <w:rFonts w:hint="default"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rPr>
              <w:t>完成上级规定的考核任务</w:t>
            </w:r>
            <w:r>
              <w:rPr>
                <w:rFonts w:hint="eastAsia" w:ascii="仿宋_GB2312" w:hAnsi="仿宋_GB2312" w:eastAsia="仿宋_GB2312" w:cs="仿宋_GB2312"/>
                <w:spacing w:val="-2"/>
                <w:sz w:val="21"/>
                <w:szCs w:val="21"/>
                <w:lang w:eastAsia="zh-CN"/>
              </w:rPr>
              <w:t>，</w:t>
            </w:r>
            <w:r>
              <w:rPr>
                <w:rFonts w:hint="eastAsia" w:ascii="仿宋_GB2312" w:hAnsi="仿宋_GB2312" w:eastAsia="仿宋_GB2312" w:cs="仿宋_GB2312"/>
                <w:spacing w:val="-2"/>
                <w:sz w:val="21"/>
                <w:szCs w:val="21"/>
                <w:lang w:val="en-US" w:eastAsia="zh-CN"/>
              </w:rPr>
              <w:t>≥</w:t>
            </w:r>
            <w:r>
              <w:rPr>
                <w:rFonts w:hint="eastAsia" w:ascii="仿宋_GB2312" w:hAnsi="仿宋_GB2312" w:eastAsia="仿宋_GB2312" w:cs="仿宋_GB2312"/>
                <w:spacing w:val="-2"/>
                <w:sz w:val="21"/>
                <w:szCs w:val="21"/>
              </w:rPr>
              <w:t>0.61</w:t>
            </w:r>
          </w:p>
        </w:tc>
        <w:tc>
          <w:tcPr>
            <w:tcW w:w="602" w:type="pct"/>
            <w:vAlign w:val="center"/>
          </w:tcPr>
          <w:p w14:paraId="1A2CE8A4">
            <w:pPr>
              <w:keepNext w:val="0"/>
              <w:keepLines w:val="0"/>
              <w:pageBreakBefore w:val="0"/>
              <w:widowControl/>
              <w:kinsoku w:val="0"/>
              <w:wordWrap/>
              <w:overflowPunct/>
              <w:topLinePunct w:val="0"/>
              <w:autoSpaceDE w:val="0"/>
              <w:autoSpaceDN w:val="0"/>
              <w:bidi w:val="0"/>
              <w:adjustRightInd w:val="0"/>
              <w:snapToGrid w:val="0"/>
              <w:spacing w:line="240" w:lineRule="auto"/>
              <w:ind w:left="10" w:leftChars="0" w:right="61" w:rightChars="0" w:firstLine="62" w:firstLineChars="0"/>
              <w:jc w:val="center"/>
              <w:rPr>
                <w:rFonts w:hint="eastAsia" w:ascii="仿宋_GB2312" w:hAnsi="仿宋_GB2312" w:eastAsia="仿宋_GB2312" w:cs="仿宋_GB2312"/>
                <w:spacing w:val="-2"/>
                <w:sz w:val="21"/>
                <w:szCs w:val="21"/>
                <w:lang w:eastAsia="zh-CN"/>
              </w:rPr>
            </w:pPr>
            <w:r>
              <w:rPr>
                <w:rFonts w:hint="eastAsia" w:ascii="仿宋_GB2312" w:hAnsi="仿宋_GB2312" w:eastAsia="仿宋_GB2312" w:cs="仿宋_GB2312"/>
                <w:spacing w:val="-2"/>
                <w:sz w:val="21"/>
                <w:szCs w:val="21"/>
              </w:rPr>
              <w:t>完成上级规定的考核任务</w:t>
            </w:r>
            <w:r>
              <w:rPr>
                <w:rFonts w:hint="eastAsia" w:ascii="仿宋_GB2312" w:hAnsi="仿宋_GB2312" w:eastAsia="仿宋_GB2312" w:cs="仿宋_GB2312"/>
                <w:spacing w:val="-2"/>
                <w:sz w:val="21"/>
                <w:szCs w:val="21"/>
                <w:lang w:eastAsia="zh-CN"/>
              </w:rPr>
              <w:t>，</w:t>
            </w:r>
            <w:r>
              <w:rPr>
                <w:rFonts w:hint="eastAsia" w:ascii="仿宋_GB2312" w:hAnsi="仿宋_GB2312" w:eastAsia="仿宋_GB2312" w:cs="仿宋_GB2312"/>
                <w:spacing w:val="-2"/>
                <w:sz w:val="21"/>
                <w:szCs w:val="21"/>
                <w:lang w:val="en-US" w:eastAsia="zh-CN"/>
              </w:rPr>
              <w:t>≥</w:t>
            </w:r>
            <w:r>
              <w:rPr>
                <w:rFonts w:hint="eastAsia" w:ascii="仿宋_GB2312" w:hAnsi="仿宋_GB2312" w:eastAsia="仿宋_GB2312" w:cs="仿宋_GB2312"/>
                <w:spacing w:val="-2"/>
                <w:sz w:val="21"/>
                <w:szCs w:val="21"/>
              </w:rPr>
              <w:t>0.6</w:t>
            </w:r>
            <w:r>
              <w:rPr>
                <w:rFonts w:hint="eastAsia" w:ascii="仿宋_GB2312" w:hAnsi="仿宋_GB2312" w:eastAsia="仿宋_GB2312" w:cs="仿宋_GB2312"/>
                <w:spacing w:val="-2"/>
                <w:sz w:val="21"/>
                <w:szCs w:val="21"/>
                <w:lang w:val="en-US" w:eastAsia="zh-CN"/>
              </w:rPr>
              <w:t>2</w:t>
            </w:r>
          </w:p>
        </w:tc>
      </w:tr>
      <w:tr w14:paraId="5ED4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trPr>
        <w:tc>
          <w:tcPr>
            <w:tcW w:w="370" w:type="pct"/>
            <w:vMerge w:val="continue"/>
            <w:vAlign w:val="top"/>
          </w:tcPr>
          <w:p w14:paraId="46748C2D">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084357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Pr>
                <w:rFonts w:hint="eastAsia" w:ascii="仿宋_GB2312" w:hAnsi="仿宋_GB2312" w:eastAsia="仿宋_GB2312" w:cs="仿宋_GB2312"/>
                <w:spacing w:val="7"/>
                <w:sz w:val="21"/>
                <w:szCs w:val="21"/>
              </w:rPr>
            </w:pPr>
          </w:p>
        </w:tc>
        <w:tc>
          <w:tcPr>
            <w:tcW w:w="279" w:type="pct"/>
            <w:vAlign w:val="center"/>
          </w:tcPr>
          <w:p w14:paraId="30B9CA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sz w:val="21"/>
                <w:szCs w:val="21"/>
              </w:rPr>
              <w:t>15</w:t>
            </w:r>
          </w:p>
        </w:tc>
        <w:tc>
          <w:tcPr>
            <w:tcW w:w="775" w:type="pct"/>
            <w:vAlign w:val="center"/>
          </w:tcPr>
          <w:p w14:paraId="26FED8ED">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both"/>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7"/>
                <w:sz w:val="21"/>
                <w:szCs w:val="21"/>
              </w:rPr>
              <w:t>农膜回收率*</w:t>
            </w:r>
          </w:p>
        </w:tc>
        <w:tc>
          <w:tcPr>
            <w:tcW w:w="336" w:type="pct"/>
            <w:vAlign w:val="center"/>
          </w:tcPr>
          <w:p w14:paraId="605C95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position w:val="1"/>
                <w:sz w:val="21"/>
                <w:szCs w:val="21"/>
              </w:rPr>
              <w:t>%</w:t>
            </w:r>
          </w:p>
        </w:tc>
        <w:tc>
          <w:tcPr>
            <w:tcW w:w="695" w:type="pct"/>
            <w:vAlign w:val="center"/>
          </w:tcPr>
          <w:p w14:paraId="66E0F3E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position w:val="1"/>
                <w:sz w:val="21"/>
                <w:szCs w:val="21"/>
              </w:rPr>
              <w:t>≥85</w:t>
            </w:r>
          </w:p>
        </w:tc>
        <w:tc>
          <w:tcPr>
            <w:tcW w:w="694" w:type="pct"/>
            <w:vAlign w:val="center"/>
          </w:tcPr>
          <w:p w14:paraId="5124459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position w:val="1"/>
                <w:sz w:val="21"/>
                <w:szCs w:val="21"/>
              </w:rPr>
            </w:pPr>
            <w:r>
              <w:rPr>
                <w:rFonts w:hint="eastAsia" w:ascii="仿宋_GB2312" w:hAnsi="仿宋_GB2312" w:eastAsia="仿宋_GB2312" w:cs="仿宋_GB2312"/>
                <w:spacing w:val="-3"/>
                <w:position w:val="1"/>
                <w:sz w:val="21"/>
                <w:szCs w:val="21"/>
              </w:rPr>
              <w:t>86.5</w:t>
            </w:r>
          </w:p>
        </w:tc>
        <w:tc>
          <w:tcPr>
            <w:tcW w:w="603" w:type="pct"/>
            <w:vAlign w:val="center"/>
          </w:tcPr>
          <w:p w14:paraId="006A4C46">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3"/>
                <w:position w:val="1"/>
                <w:sz w:val="21"/>
                <w:szCs w:val="21"/>
                <w:lang w:val="en-US" w:eastAsia="zh-CN"/>
              </w:rPr>
            </w:pPr>
            <w:r>
              <w:rPr>
                <w:rFonts w:hint="eastAsia" w:ascii="仿宋_GB2312" w:hAnsi="仿宋_GB2312" w:eastAsia="仿宋_GB2312" w:cs="仿宋_GB2312"/>
                <w:spacing w:val="-3"/>
                <w:position w:val="1"/>
                <w:sz w:val="21"/>
                <w:szCs w:val="21"/>
              </w:rPr>
              <w:t>≥</w:t>
            </w:r>
            <w:r>
              <w:rPr>
                <w:rFonts w:hint="eastAsia" w:ascii="仿宋_GB2312" w:hAnsi="仿宋_GB2312" w:eastAsia="仿宋_GB2312" w:cs="仿宋_GB2312"/>
                <w:spacing w:val="-3"/>
                <w:position w:val="1"/>
                <w:sz w:val="21"/>
                <w:szCs w:val="21"/>
                <w:lang w:val="en-US" w:eastAsia="zh-CN"/>
              </w:rPr>
              <w:t>92</w:t>
            </w:r>
          </w:p>
        </w:tc>
        <w:tc>
          <w:tcPr>
            <w:tcW w:w="602" w:type="pct"/>
            <w:vAlign w:val="center"/>
          </w:tcPr>
          <w:p w14:paraId="69CA1841">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position w:val="1"/>
                <w:sz w:val="21"/>
                <w:szCs w:val="21"/>
              </w:rPr>
            </w:pPr>
            <w:r>
              <w:rPr>
                <w:rFonts w:hint="eastAsia" w:ascii="仿宋_GB2312" w:hAnsi="仿宋_GB2312" w:eastAsia="仿宋_GB2312" w:cs="仿宋_GB2312"/>
                <w:spacing w:val="-3"/>
                <w:position w:val="1"/>
                <w:sz w:val="21"/>
                <w:szCs w:val="21"/>
              </w:rPr>
              <w:t>≥</w:t>
            </w:r>
            <w:r>
              <w:rPr>
                <w:rFonts w:hint="eastAsia" w:ascii="仿宋_GB2312" w:hAnsi="仿宋_GB2312" w:eastAsia="仿宋_GB2312" w:cs="仿宋_GB2312"/>
                <w:spacing w:val="-3"/>
                <w:position w:val="1"/>
                <w:sz w:val="21"/>
                <w:szCs w:val="21"/>
                <w:lang w:val="en-US" w:eastAsia="zh-CN"/>
              </w:rPr>
              <w:t>95</w:t>
            </w:r>
          </w:p>
        </w:tc>
      </w:tr>
      <w:tr w14:paraId="069C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rPr>
        <w:tc>
          <w:tcPr>
            <w:tcW w:w="370" w:type="pct"/>
            <w:vMerge w:val="continue"/>
            <w:vAlign w:val="top"/>
          </w:tcPr>
          <w:p w14:paraId="56766C20">
            <w:pPr>
              <w:pStyle w:val="28"/>
              <w:keepNext w:val="0"/>
              <w:keepLines w:val="0"/>
              <w:pageBreakBefore w:val="0"/>
              <w:widowControl/>
              <w:kinsoku w:val="0"/>
              <w:wordWrap/>
              <w:overflowPunct/>
              <w:topLinePunct w:val="0"/>
              <w:autoSpaceDE w:val="0"/>
              <w:autoSpaceDN w:val="0"/>
              <w:bidi w:val="0"/>
              <w:adjustRightInd w:val="0"/>
              <w:snapToGrid w:val="0"/>
              <w:spacing w:line="240" w:lineRule="auto"/>
              <w:rPr>
                <w:rFonts w:hint="eastAsia" w:ascii="仿宋_GB2312" w:hAnsi="仿宋_GB2312" w:eastAsia="仿宋_GB2312" w:cs="仿宋_GB2312"/>
                <w:sz w:val="21"/>
                <w:szCs w:val="21"/>
              </w:rPr>
            </w:pPr>
          </w:p>
        </w:tc>
        <w:tc>
          <w:tcPr>
            <w:tcW w:w="642" w:type="pct"/>
            <w:vMerge w:val="continue"/>
            <w:vAlign w:val="top"/>
          </w:tcPr>
          <w:p w14:paraId="66D8CA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Pr>
                <w:rFonts w:hint="eastAsia" w:ascii="仿宋_GB2312" w:hAnsi="仿宋_GB2312" w:eastAsia="仿宋_GB2312" w:cs="仿宋_GB2312"/>
                <w:spacing w:val="7"/>
                <w:sz w:val="21"/>
                <w:szCs w:val="21"/>
              </w:rPr>
            </w:pPr>
          </w:p>
        </w:tc>
        <w:tc>
          <w:tcPr>
            <w:tcW w:w="279" w:type="pct"/>
            <w:vAlign w:val="center"/>
          </w:tcPr>
          <w:p w14:paraId="5D20E9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sz w:val="21"/>
                <w:szCs w:val="21"/>
              </w:rPr>
              <w:t>16</w:t>
            </w:r>
          </w:p>
        </w:tc>
        <w:tc>
          <w:tcPr>
            <w:tcW w:w="775" w:type="pct"/>
            <w:vAlign w:val="center"/>
          </w:tcPr>
          <w:p w14:paraId="0633A8A3">
            <w:pPr>
              <w:keepNext w:val="0"/>
              <w:keepLines w:val="0"/>
              <w:pageBreakBefore w:val="0"/>
              <w:widowControl/>
              <w:kinsoku w:val="0"/>
              <w:wordWrap/>
              <w:overflowPunct/>
              <w:topLinePunct w:val="0"/>
              <w:autoSpaceDE w:val="0"/>
              <w:autoSpaceDN w:val="0"/>
              <w:bidi w:val="0"/>
              <w:adjustRightInd w:val="0"/>
              <w:snapToGrid w:val="0"/>
              <w:spacing w:line="240" w:lineRule="auto"/>
              <w:ind w:left="8" w:leftChars="0"/>
              <w:jc w:val="both"/>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9"/>
                <w:sz w:val="21"/>
                <w:szCs w:val="21"/>
              </w:rPr>
              <w:t>一般工业固体废物综合利用率</w:t>
            </w:r>
          </w:p>
        </w:tc>
        <w:tc>
          <w:tcPr>
            <w:tcW w:w="336" w:type="pct"/>
            <w:vAlign w:val="center"/>
          </w:tcPr>
          <w:p w14:paraId="16E979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position w:val="-3"/>
                <w:sz w:val="21"/>
                <w:szCs w:val="21"/>
              </w:rPr>
              <w:t>-</w:t>
            </w:r>
          </w:p>
        </w:tc>
        <w:tc>
          <w:tcPr>
            <w:tcW w:w="695" w:type="pct"/>
            <w:vAlign w:val="center"/>
          </w:tcPr>
          <w:p w14:paraId="4A867EAC">
            <w:pPr>
              <w:keepNext w:val="0"/>
              <w:keepLines w:val="0"/>
              <w:pageBreakBefore w:val="0"/>
              <w:widowControl/>
              <w:kinsoku w:val="0"/>
              <w:wordWrap/>
              <w:overflowPunct/>
              <w:topLinePunct w:val="0"/>
              <w:autoSpaceDE w:val="0"/>
              <w:autoSpaceDN w:val="0"/>
              <w:bidi w:val="0"/>
              <w:adjustRightInd w:val="0"/>
              <w:snapToGrid w:val="0"/>
              <w:spacing w:line="240" w:lineRule="auto"/>
              <w:ind w:left="124" w:left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sz w:val="21"/>
                <w:szCs w:val="21"/>
              </w:rPr>
              <w:t>保持稳定或持续改善</w:t>
            </w:r>
          </w:p>
        </w:tc>
        <w:tc>
          <w:tcPr>
            <w:tcW w:w="694" w:type="pct"/>
            <w:vAlign w:val="center"/>
          </w:tcPr>
          <w:p w14:paraId="0DBCF4DB">
            <w:pPr>
              <w:keepNext w:val="0"/>
              <w:keepLines w:val="0"/>
              <w:pageBreakBefore w:val="0"/>
              <w:widowControl/>
              <w:kinsoku w:val="0"/>
              <w:wordWrap/>
              <w:overflowPunct/>
              <w:topLinePunct w:val="0"/>
              <w:autoSpaceDE w:val="0"/>
              <w:autoSpaceDN w:val="0"/>
              <w:bidi w:val="0"/>
              <w:adjustRightInd w:val="0"/>
              <w:snapToGrid w:val="0"/>
              <w:spacing w:line="240" w:lineRule="auto"/>
              <w:ind w:left="124" w:leftChars="0"/>
              <w:jc w:val="center"/>
              <w:rPr>
                <w:rFonts w:hint="default"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rPr>
              <w:t>83.16</w:t>
            </w:r>
            <w:r>
              <w:rPr>
                <w:rFonts w:hint="eastAsia" w:ascii="仿宋_GB2312" w:hAnsi="仿宋_GB2312" w:eastAsia="仿宋_GB2312" w:cs="仿宋_GB2312"/>
                <w:spacing w:val="-2"/>
                <w:sz w:val="21"/>
                <w:szCs w:val="21"/>
                <w:lang w:val="en-US" w:eastAsia="zh-CN"/>
              </w:rPr>
              <w:t>%；较2022年</w:t>
            </w:r>
            <w:r>
              <w:rPr>
                <w:rFonts w:hint="eastAsia" w:ascii="仿宋_GB2312" w:hAnsi="仿宋_GB2312" w:eastAsia="仿宋_GB2312" w:cs="仿宋_GB2312"/>
                <w:spacing w:val="-2"/>
                <w:sz w:val="21"/>
                <w:szCs w:val="21"/>
                <w:highlight w:val="none"/>
                <w:lang w:val="en-US" w:eastAsia="zh-CN"/>
              </w:rPr>
              <w:t>降低，不达标</w:t>
            </w:r>
          </w:p>
        </w:tc>
        <w:tc>
          <w:tcPr>
            <w:tcW w:w="603" w:type="pct"/>
            <w:vAlign w:val="center"/>
          </w:tcPr>
          <w:p w14:paraId="3F14893A">
            <w:pPr>
              <w:keepNext w:val="0"/>
              <w:keepLines w:val="0"/>
              <w:pageBreakBefore w:val="0"/>
              <w:widowControl/>
              <w:kinsoku w:val="0"/>
              <w:wordWrap/>
              <w:overflowPunct/>
              <w:topLinePunct w:val="0"/>
              <w:autoSpaceDE w:val="0"/>
              <w:autoSpaceDN w:val="0"/>
              <w:bidi w:val="0"/>
              <w:adjustRightInd w:val="0"/>
              <w:snapToGrid w:val="0"/>
              <w:spacing w:line="240" w:lineRule="auto"/>
              <w:ind w:left="124" w:leftChars="0"/>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3"/>
                <w:position w:val="1"/>
                <w:sz w:val="21"/>
                <w:szCs w:val="21"/>
              </w:rPr>
              <w:t>≥90</w:t>
            </w:r>
            <w:r>
              <w:rPr>
                <w:rFonts w:hint="eastAsia" w:ascii="仿宋_GB2312" w:hAnsi="仿宋_GB2312" w:eastAsia="仿宋_GB2312" w:cs="仿宋_GB2312"/>
                <w:spacing w:val="-3"/>
                <w:position w:val="1"/>
                <w:sz w:val="21"/>
                <w:szCs w:val="21"/>
                <w:lang w:eastAsia="zh-CN"/>
              </w:rPr>
              <w:t>；</w:t>
            </w:r>
            <w:r>
              <w:rPr>
                <w:rFonts w:hint="eastAsia" w:ascii="仿宋_GB2312" w:hAnsi="仿宋_GB2312" w:eastAsia="仿宋_GB2312" w:cs="仿宋_GB2312"/>
                <w:spacing w:val="-2"/>
                <w:sz w:val="21"/>
                <w:szCs w:val="21"/>
              </w:rPr>
              <w:t>保持稳定或持续改善</w:t>
            </w:r>
          </w:p>
        </w:tc>
        <w:tc>
          <w:tcPr>
            <w:tcW w:w="602" w:type="pct"/>
            <w:vAlign w:val="center"/>
          </w:tcPr>
          <w:p w14:paraId="0E956EDA">
            <w:pPr>
              <w:keepNext w:val="0"/>
              <w:keepLines w:val="0"/>
              <w:pageBreakBefore w:val="0"/>
              <w:widowControl/>
              <w:kinsoku w:val="0"/>
              <w:wordWrap/>
              <w:overflowPunct/>
              <w:topLinePunct w:val="0"/>
              <w:autoSpaceDE w:val="0"/>
              <w:autoSpaceDN w:val="0"/>
              <w:bidi w:val="0"/>
              <w:adjustRightInd w:val="0"/>
              <w:snapToGrid w:val="0"/>
              <w:spacing w:line="240" w:lineRule="auto"/>
              <w:ind w:left="124" w:leftChars="0"/>
              <w:jc w:val="center"/>
              <w:rPr>
                <w:rFonts w:hint="eastAsia" w:ascii="仿宋_GB2312" w:hAnsi="仿宋_GB2312" w:eastAsia="仿宋_GB2312" w:cs="仿宋_GB2312"/>
                <w:spacing w:val="-3"/>
                <w:position w:val="1"/>
                <w:sz w:val="21"/>
                <w:szCs w:val="21"/>
              </w:rPr>
            </w:pPr>
            <w:r>
              <w:rPr>
                <w:rFonts w:hint="eastAsia" w:ascii="仿宋_GB2312" w:hAnsi="仿宋_GB2312" w:eastAsia="仿宋_GB2312" w:cs="仿宋_GB2312"/>
                <w:spacing w:val="-3"/>
                <w:position w:val="1"/>
                <w:sz w:val="21"/>
                <w:szCs w:val="21"/>
              </w:rPr>
              <w:t>≥90</w:t>
            </w:r>
            <w:r>
              <w:rPr>
                <w:rFonts w:hint="eastAsia" w:ascii="仿宋_GB2312" w:hAnsi="仿宋_GB2312" w:eastAsia="仿宋_GB2312" w:cs="仿宋_GB2312"/>
                <w:spacing w:val="-3"/>
                <w:position w:val="1"/>
                <w:sz w:val="21"/>
                <w:szCs w:val="21"/>
                <w:lang w:eastAsia="zh-CN"/>
              </w:rPr>
              <w:t>；</w:t>
            </w:r>
            <w:r>
              <w:rPr>
                <w:rFonts w:hint="eastAsia" w:ascii="仿宋_GB2312" w:hAnsi="仿宋_GB2312" w:eastAsia="仿宋_GB2312" w:cs="仿宋_GB2312"/>
                <w:spacing w:val="-2"/>
                <w:sz w:val="21"/>
                <w:szCs w:val="21"/>
              </w:rPr>
              <w:t>保持稳定或持续改善</w:t>
            </w:r>
          </w:p>
        </w:tc>
      </w:tr>
      <w:tr w14:paraId="62AE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restart"/>
            <w:vAlign w:val="center"/>
          </w:tcPr>
          <w:p w14:paraId="22EEFFD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napToGrid w:val="0"/>
                <w:color w:val="000000"/>
                <w:kern w:val="0"/>
                <w:sz w:val="21"/>
                <w:szCs w:val="21"/>
                <w:lang w:val="en-US" w:eastAsia="zh-CN" w:bidi="ar"/>
              </w:rPr>
              <w:t>生态</w:t>
            </w:r>
          </w:p>
          <w:p w14:paraId="441ECA8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napToGrid w:val="0"/>
                <w:color w:val="000000"/>
                <w:kern w:val="0"/>
                <w:sz w:val="21"/>
                <w:szCs w:val="21"/>
                <w:lang w:val="en-US" w:eastAsia="zh-CN" w:bidi="ar"/>
              </w:rPr>
              <w:t>文化</w:t>
            </w:r>
          </w:p>
        </w:tc>
        <w:tc>
          <w:tcPr>
            <w:tcW w:w="642" w:type="pct"/>
            <w:vMerge w:val="restart"/>
            <w:vAlign w:val="top"/>
          </w:tcPr>
          <w:p w14:paraId="3CD567C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（七）</w:t>
            </w:r>
          </w:p>
          <w:p w14:paraId="41BB411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全民共建</w:t>
            </w:r>
          </w:p>
          <w:p w14:paraId="29DA7CF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napToGrid w:val="0"/>
                <w:color w:val="000000"/>
                <w:kern w:val="0"/>
                <w:sz w:val="21"/>
                <w:szCs w:val="21"/>
                <w:lang w:val="en-US" w:eastAsia="zh-CN" w:bidi="ar"/>
              </w:rPr>
              <w:t>共享</w:t>
            </w:r>
          </w:p>
        </w:tc>
        <w:tc>
          <w:tcPr>
            <w:tcW w:w="279" w:type="pct"/>
            <w:vAlign w:val="center"/>
          </w:tcPr>
          <w:p w14:paraId="483E67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sz w:val="21"/>
                <w:szCs w:val="21"/>
              </w:rPr>
              <w:t>17</w:t>
            </w:r>
          </w:p>
        </w:tc>
        <w:tc>
          <w:tcPr>
            <w:tcW w:w="775" w:type="pct"/>
            <w:vAlign w:val="center"/>
          </w:tcPr>
          <w:p w14:paraId="6597D3DB">
            <w:pPr>
              <w:keepNext w:val="0"/>
              <w:keepLines w:val="0"/>
              <w:pageBreakBefore w:val="0"/>
              <w:widowControl/>
              <w:kinsoku w:val="0"/>
              <w:wordWrap/>
              <w:overflowPunct/>
              <w:topLinePunct w:val="0"/>
              <w:autoSpaceDE w:val="0"/>
              <w:autoSpaceDN w:val="0"/>
              <w:bidi w:val="0"/>
              <w:adjustRightInd w:val="0"/>
              <w:snapToGrid w:val="0"/>
              <w:spacing w:line="240" w:lineRule="auto"/>
              <w:ind w:left="11" w:leftChars="0"/>
              <w:jc w:val="both"/>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8"/>
                <w:sz w:val="21"/>
                <w:szCs w:val="21"/>
              </w:rPr>
              <w:t>公众对生态环境质量满意程度</w:t>
            </w:r>
          </w:p>
        </w:tc>
        <w:tc>
          <w:tcPr>
            <w:tcW w:w="336" w:type="pct"/>
            <w:vAlign w:val="center"/>
          </w:tcPr>
          <w:p w14:paraId="505255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position w:val="1"/>
                <w:sz w:val="21"/>
                <w:szCs w:val="21"/>
              </w:rPr>
              <w:t>%</w:t>
            </w:r>
          </w:p>
        </w:tc>
        <w:tc>
          <w:tcPr>
            <w:tcW w:w="695" w:type="pct"/>
            <w:vAlign w:val="center"/>
          </w:tcPr>
          <w:p w14:paraId="536F806F">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position w:val="1"/>
                <w:sz w:val="21"/>
                <w:szCs w:val="21"/>
              </w:rPr>
              <w:t>≥90</w:t>
            </w:r>
          </w:p>
        </w:tc>
        <w:tc>
          <w:tcPr>
            <w:tcW w:w="694" w:type="pct"/>
            <w:vAlign w:val="center"/>
          </w:tcPr>
          <w:p w14:paraId="4B9E47E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3"/>
                <w:position w:val="1"/>
                <w:sz w:val="21"/>
                <w:szCs w:val="21"/>
                <w:lang w:val="en-US" w:eastAsia="zh-CN"/>
              </w:rPr>
            </w:pPr>
            <w:r>
              <w:rPr>
                <w:rFonts w:hint="eastAsia" w:ascii="仿宋_GB2312" w:hAnsi="仿宋_GB2312" w:eastAsia="仿宋_GB2312" w:cs="仿宋_GB2312"/>
                <w:spacing w:val="-3"/>
                <w:position w:val="1"/>
                <w:sz w:val="21"/>
                <w:szCs w:val="21"/>
                <w:lang w:val="en-US" w:eastAsia="zh-CN"/>
              </w:rPr>
              <w:t>97.45</w:t>
            </w:r>
          </w:p>
        </w:tc>
        <w:tc>
          <w:tcPr>
            <w:tcW w:w="603" w:type="pct"/>
            <w:vAlign w:val="center"/>
          </w:tcPr>
          <w:p w14:paraId="6650B33C">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3"/>
                <w:position w:val="1"/>
                <w:sz w:val="21"/>
                <w:szCs w:val="21"/>
                <w:lang w:val="en-US" w:eastAsia="zh-CN"/>
              </w:rPr>
            </w:pPr>
            <w:r>
              <w:rPr>
                <w:rFonts w:hint="eastAsia" w:ascii="仿宋_GB2312" w:hAnsi="仿宋_GB2312" w:eastAsia="仿宋_GB2312" w:cs="仿宋_GB2312"/>
                <w:spacing w:val="-3"/>
                <w:position w:val="1"/>
                <w:sz w:val="21"/>
                <w:szCs w:val="21"/>
              </w:rPr>
              <w:t>≥9</w:t>
            </w:r>
            <w:r>
              <w:rPr>
                <w:rFonts w:hint="eastAsia" w:ascii="仿宋_GB2312" w:hAnsi="仿宋_GB2312" w:eastAsia="仿宋_GB2312" w:cs="仿宋_GB2312"/>
                <w:spacing w:val="-3"/>
                <w:position w:val="1"/>
                <w:sz w:val="21"/>
                <w:szCs w:val="21"/>
                <w:lang w:val="en-US" w:eastAsia="zh-CN"/>
              </w:rPr>
              <w:t>7.45</w:t>
            </w:r>
          </w:p>
        </w:tc>
        <w:tc>
          <w:tcPr>
            <w:tcW w:w="602" w:type="pct"/>
            <w:vAlign w:val="center"/>
          </w:tcPr>
          <w:p w14:paraId="2F6E793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position w:val="1"/>
                <w:sz w:val="21"/>
                <w:szCs w:val="21"/>
              </w:rPr>
            </w:pPr>
            <w:r>
              <w:rPr>
                <w:rFonts w:hint="eastAsia" w:ascii="仿宋_GB2312" w:hAnsi="仿宋_GB2312" w:eastAsia="仿宋_GB2312" w:cs="仿宋_GB2312"/>
                <w:spacing w:val="-3"/>
                <w:position w:val="1"/>
                <w:sz w:val="21"/>
                <w:szCs w:val="21"/>
              </w:rPr>
              <w:t>≥9</w:t>
            </w:r>
            <w:r>
              <w:rPr>
                <w:rFonts w:hint="eastAsia" w:ascii="仿宋_GB2312" w:hAnsi="仿宋_GB2312" w:eastAsia="仿宋_GB2312" w:cs="仿宋_GB2312"/>
                <w:spacing w:val="-3"/>
                <w:position w:val="1"/>
                <w:sz w:val="21"/>
                <w:szCs w:val="21"/>
                <w:lang w:val="en-US" w:eastAsia="zh-CN"/>
              </w:rPr>
              <w:t>8</w:t>
            </w:r>
          </w:p>
        </w:tc>
      </w:tr>
      <w:tr w14:paraId="0B58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70" w:type="pct"/>
            <w:vMerge w:val="continue"/>
            <w:vAlign w:val="top"/>
          </w:tcPr>
          <w:p w14:paraId="1CDBEA44">
            <w:pPr>
              <w:pStyle w:val="28"/>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z w:val="21"/>
                <w:szCs w:val="21"/>
              </w:rPr>
            </w:pPr>
          </w:p>
        </w:tc>
        <w:tc>
          <w:tcPr>
            <w:tcW w:w="642" w:type="pct"/>
            <w:vMerge w:val="continue"/>
            <w:vAlign w:val="top"/>
          </w:tcPr>
          <w:p w14:paraId="0CBC96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rPr>
                <w:rFonts w:hint="eastAsia" w:ascii="仿宋_GB2312" w:hAnsi="仿宋_GB2312" w:eastAsia="仿宋_GB2312" w:cs="仿宋_GB2312"/>
                <w:spacing w:val="7"/>
                <w:sz w:val="21"/>
                <w:szCs w:val="21"/>
              </w:rPr>
            </w:pPr>
          </w:p>
        </w:tc>
        <w:tc>
          <w:tcPr>
            <w:tcW w:w="279" w:type="pct"/>
            <w:vAlign w:val="center"/>
          </w:tcPr>
          <w:p w14:paraId="41750D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sz w:val="21"/>
                <w:szCs w:val="21"/>
              </w:rPr>
              <w:t>18</w:t>
            </w:r>
          </w:p>
        </w:tc>
        <w:tc>
          <w:tcPr>
            <w:tcW w:w="775" w:type="pct"/>
            <w:vAlign w:val="center"/>
          </w:tcPr>
          <w:p w14:paraId="44E1AC16">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both"/>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9"/>
                <w:sz w:val="21"/>
                <w:szCs w:val="21"/>
              </w:rPr>
              <w:t>城镇新建绿色建筑比例</w:t>
            </w:r>
          </w:p>
        </w:tc>
        <w:tc>
          <w:tcPr>
            <w:tcW w:w="336" w:type="pct"/>
            <w:vAlign w:val="center"/>
          </w:tcPr>
          <w:p w14:paraId="652441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position w:val="1"/>
                <w:sz w:val="21"/>
                <w:szCs w:val="21"/>
              </w:rPr>
              <w:t>%</w:t>
            </w:r>
          </w:p>
        </w:tc>
        <w:tc>
          <w:tcPr>
            <w:tcW w:w="695" w:type="pct"/>
            <w:vAlign w:val="center"/>
          </w:tcPr>
          <w:p w14:paraId="281DE8B6">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sz w:val="21"/>
                <w:szCs w:val="21"/>
              </w:rPr>
              <w:t>100</w:t>
            </w:r>
          </w:p>
        </w:tc>
        <w:tc>
          <w:tcPr>
            <w:tcW w:w="694" w:type="pct"/>
            <w:vAlign w:val="center"/>
          </w:tcPr>
          <w:p w14:paraId="707EF542">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c>
          <w:tcPr>
            <w:tcW w:w="603" w:type="pct"/>
            <w:vAlign w:val="center"/>
          </w:tcPr>
          <w:p w14:paraId="117745A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c>
          <w:tcPr>
            <w:tcW w:w="602" w:type="pct"/>
            <w:vAlign w:val="center"/>
          </w:tcPr>
          <w:p w14:paraId="7EB39F0F">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100</w:t>
            </w:r>
          </w:p>
        </w:tc>
      </w:tr>
      <w:tr w14:paraId="12F0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70" w:type="pct"/>
            <w:vAlign w:val="top"/>
          </w:tcPr>
          <w:p w14:paraId="38EEDF4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napToGrid w:val="0"/>
                <w:color w:val="000000"/>
                <w:kern w:val="0"/>
                <w:sz w:val="21"/>
                <w:szCs w:val="21"/>
                <w:lang w:val="en-US" w:eastAsia="zh-CN" w:bidi="ar"/>
              </w:rPr>
              <w:t>生态</w:t>
            </w:r>
          </w:p>
          <w:p w14:paraId="599C0F7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napToGrid w:val="0"/>
                <w:color w:val="000000"/>
                <w:kern w:val="0"/>
                <w:sz w:val="21"/>
                <w:szCs w:val="21"/>
                <w:lang w:val="en-US" w:eastAsia="zh-CN" w:bidi="ar"/>
              </w:rPr>
              <w:t>文明</w:t>
            </w:r>
          </w:p>
          <w:p w14:paraId="79C3E74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napToGrid w:val="0"/>
                <w:color w:val="000000"/>
                <w:kern w:val="0"/>
                <w:sz w:val="21"/>
                <w:szCs w:val="21"/>
                <w:lang w:val="en-US" w:eastAsia="zh-CN" w:bidi="ar"/>
              </w:rPr>
              <w:t>制度</w:t>
            </w:r>
          </w:p>
        </w:tc>
        <w:tc>
          <w:tcPr>
            <w:tcW w:w="642" w:type="pct"/>
            <w:vAlign w:val="top"/>
          </w:tcPr>
          <w:p w14:paraId="7056166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（八）</w:t>
            </w:r>
          </w:p>
          <w:p w14:paraId="6D18678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体制机制</w:t>
            </w:r>
          </w:p>
          <w:p w14:paraId="438FA7E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napToGrid w:val="0"/>
                <w:color w:val="000000"/>
                <w:kern w:val="0"/>
                <w:sz w:val="21"/>
                <w:szCs w:val="21"/>
                <w:lang w:val="en-US" w:eastAsia="zh-CN" w:bidi="ar"/>
              </w:rPr>
              <w:t>保障</w:t>
            </w:r>
          </w:p>
        </w:tc>
        <w:tc>
          <w:tcPr>
            <w:tcW w:w="279" w:type="pct"/>
            <w:vAlign w:val="center"/>
          </w:tcPr>
          <w:p w14:paraId="2BEA6F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9"/>
                <w:sz w:val="21"/>
                <w:szCs w:val="21"/>
                <w:lang w:val="en-US" w:eastAsia="en-US"/>
              </w:rPr>
            </w:pPr>
            <w:r>
              <w:rPr>
                <w:rFonts w:hint="eastAsia" w:ascii="仿宋_GB2312" w:hAnsi="仿宋_GB2312" w:eastAsia="仿宋_GB2312" w:cs="仿宋_GB2312"/>
                <w:spacing w:val="9"/>
                <w:sz w:val="21"/>
                <w:szCs w:val="21"/>
              </w:rPr>
              <w:t>19</w:t>
            </w:r>
          </w:p>
        </w:tc>
        <w:tc>
          <w:tcPr>
            <w:tcW w:w="775" w:type="pct"/>
            <w:vAlign w:val="center"/>
          </w:tcPr>
          <w:p w14:paraId="2FA21885">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both"/>
              <w:rPr>
                <w:rFonts w:hint="eastAsia" w:ascii="仿宋_GB2312" w:hAnsi="仿宋_GB2312" w:eastAsia="仿宋_GB2312" w:cs="仿宋_GB2312"/>
                <w:spacing w:val="9"/>
                <w:sz w:val="21"/>
                <w:szCs w:val="21"/>
                <w:lang w:val="en-US" w:eastAsia="en-US"/>
              </w:rPr>
            </w:pPr>
            <w:r>
              <w:rPr>
                <w:rFonts w:hint="eastAsia" w:ascii="仿宋_GB2312" w:hAnsi="仿宋_GB2312" w:eastAsia="仿宋_GB2312" w:cs="仿宋_GB2312"/>
                <w:spacing w:val="9"/>
                <w:sz w:val="21"/>
                <w:szCs w:val="21"/>
              </w:rPr>
              <w:t>生态环境信息公开率</w:t>
            </w:r>
          </w:p>
        </w:tc>
        <w:tc>
          <w:tcPr>
            <w:tcW w:w="336" w:type="pct"/>
            <w:vAlign w:val="center"/>
          </w:tcPr>
          <w:p w14:paraId="0591B7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9"/>
                <w:sz w:val="21"/>
                <w:szCs w:val="21"/>
                <w:lang w:val="en-US" w:eastAsia="en-US"/>
              </w:rPr>
            </w:pPr>
            <w:r>
              <w:rPr>
                <w:rFonts w:hint="eastAsia" w:ascii="仿宋_GB2312" w:hAnsi="仿宋_GB2312" w:eastAsia="仿宋_GB2312" w:cs="仿宋_GB2312"/>
                <w:spacing w:val="9"/>
                <w:sz w:val="21"/>
                <w:szCs w:val="21"/>
              </w:rPr>
              <w:t>%</w:t>
            </w:r>
          </w:p>
        </w:tc>
        <w:tc>
          <w:tcPr>
            <w:tcW w:w="695" w:type="pct"/>
            <w:vAlign w:val="center"/>
          </w:tcPr>
          <w:p w14:paraId="2F7933EE">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center"/>
              <w:rPr>
                <w:rFonts w:hint="eastAsia" w:ascii="仿宋_GB2312" w:hAnsi="仿宋_GB2312" w:eastAsia="仿宋_GB2312" w:cs="仿宋_GB2312"/>
                <w:spacing w:val="9"/>
                <w:sz w:val="21"/>
                <w:szCs w:val="21"/>
                <w:lang w:val="en-US" w:eastAsia="en-US"/>
              </w:rPr>
            </w:pPr>
            <w:r>
              <w:rPr>
                <w:rFonts w:hint="eastAsia" w:ascii="仿宋_GB2312" w:hAnsi="仿宋_GB2312" w:eastAsia="仿宋_GB2312" w:cs="仿宋_GB2312"/>
                <w:spacing w:val="9"/>
                <w:sz w:val="21"/>
                <w:szCs w:val="21"/>
              </w:rPr>
              <w:t>100</w:t>
            </w:r>
          </w:p>
        </w:tc>
        <w:tc>
          <w:tcPr>
            <w:tcW w:w="694" w:type="pct"/>
            <w:vAlign w:val="center"/>
          </w:tcPr>
          <w:p w14:paraId="57CCB338">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center"/>
              <w:rPr>
                <w:rFonts w:hint="eastAsia" w:ascii="仿宋_GB2312" w:hAnsi="仿宋_GB2312" w:eastAsia="仿宋_GB2312" w:cs="仿宋_GB2312"/>
                <w:spacing w:val="9"/>
                <w:sz w:val="21"/>
                <w:szCs w:val="21"/>
              </w:rPr>
            </w:pPr>
            <w:r>
              <w:rPr>
                <w:rFonts w:hint="eastAsia" w:ascii="仿宋_GB2312" w:hAnsi="仿宋_GB2312" w:eastAsia="仿宋_GB2312" w:cs="仿宋_GB2312"/>
                <w:spacing w:val="9"/>
                <w:sz w:val="21"/>
                <w:szCs w:val="21"/>
              </w:rPr>
              <w:t>100</w:t>
            </w:r>
          </w:p>
        </w:tc>
        <w:tc>
          <w:tcPr>
            <w:tcW w:w="603" w:type="pct"/>
            <w:vAlign w:val="center"/>
          </w:tcPr>
          <w:p w14:paraId="6C9198F5">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center"/>
              <w:rPr>
                <w:rFonts w:hint="eastAsia" w:ascii="仿宋_GB2312" w:hAnsi="仿宋_GB2312" w:eastAsia="仿宋_GB2312" w:cs="仿宋_GB2312"/>
                <w:spacing w:val="9"/>
                <w:sz w:val="21"/>
                <w:szCs w:val="21"/>
              </w:rPr>
            </w:pPr>
            <w:r>
              <w:rPr>
                <w:rFonts w:hint="eastAsia" w:ascii="仿宋_GB2312" w:hAnsi="仿宋_GB2312" w:eastAsia="仿宋_GB2312" w:cs="仿宋_GB2312"/>
                <w:spacing w:val="9"/>
                <w:sz w:val="21"/>
                <w:szCs w:val="21"/>
              </w:rPr>
              <w:t>100</w:t>
            </w:r>
          </w:p>
        </w:tc>
        <w:tc>
          <w:tcPr>
            <w:tcW w:w="602" w:type="pct"/>
            <w:vAlign w:val="center"/>
          </w:tcPr>
          <w:p w14:paraId="2357F960">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center"/>
              <w:rPr>
                <w:rFonts w:hint="eastAsia" w:ascii="仿宋_GB2312" w:hAnsi="仿宋_GB2312" w:eastAsia="仿宋_GB2312" w:cs="仿宋_GB2312"/>
                <w:spacing w:val="9"/>
                <w:sz w:val="21"/>
                <w:szCs w:val="21"/>
              </w:rPr>
            </w:pPr>
            <w:r>
              <w:rPr>
                <w:rFonts w:hint="eastAsia" w:ascii="仿宋_GB2312" w:hAnsi="仿宋_GB2312" w:eastAsia="仿宋_GB2312" w:cs="仿宋_GB2312"/>
                <w:spacing w:val="9"/>
                <w:sz w:val="21"/>
                <w:szCs w:val="21"/>
              </w:rPr>
              <w:t>100</w:t>
            </w:r>
          </w:p>
        </w:tc>
      </w:tr>
      <w:tr w14:paraId="635F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12" w:type="pct"/>
            <w:gridSpan w:val="2"/>
            <w:vMerge w:val="restart"/>
            <w:vAlign w:val="center"/>
          </w:tcPr>
          <w:p w14:paraId="4AC20252">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p>
          <w:p w14:paraId="024C8C6C">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p>
          <w:p w14:paraId="672BC3F1">
            <w:pPr>
              <w:keepNext w:val="0"/>
              <w:keepLines w:val="0"/>
              <w:pageBreakBefore w:val="0"/>
              <w:widowControl/>
              <w:kinsoku w:val="0"/>
              <w:wordWrap/>
              <w:overflowPunct/>
              <w:topLinePunct w:val="0"/>
              <w:autoSpaceDE w:val="0"/>
              <w:autoSpaceDN w:val="0"/>
              <w:bidi w:val="0"/>
              <w:adjustRightInd w:val="0"/>
              <w:snapToGrid w:val="0"/>
              <w:spacing w:line="240" w:lineRule="auto"/>
              <w:ind w:firstLine="225" w:firstLineChars="100"/>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b/>
                <w:bCs/>
                <w:spacing w:val="7"/>
                <w:sz w:val="21"/>
                <w:szCs w:val="21"/>
              </w:rPr>
              <w:t>参考性指标</w:t>
            </w:r>
          </w:p>
        </w:tc>
        <w:tc>
          <w:tcPr>
            <w:tcW w:w="279" w:type="pct"/>
            <w:vAlign w:val="center"/>
          </w:tcPr>
          <w:p w14:paraId="0D761A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7"/>
                <w:sz w:val="21"/>
                <w:szCs w:val="21"/>
              </w:rPr>
              <w:t>1</w:t>
            </w:r>
          </w:p>
        </w:tc>
        <w:tc>
          <w:tcPr>
            <w:tcW w:w="775" w:type="pct"/>
            <w:vAlign w:val="center"/>
          </w:tcPr>
          <w:p w14:paraId="6641B39A">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both"/>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9"/>
                <w:sz w:val="21"/>
                <w:szCs w:val="21"/>
              </w:rPr>
              <w:t>农村生活污水治理（管控）率</w:t>
            </w:r>
          </w:p>
        </w:tc>
        <w:tc>
          <w:tcPr>
            <w:tcW w:w="336" w:type="pct"/>
            <w:vAlign w:val="center"/>
          </w:tcPr>
          <w:p w14:paraId="41DCA6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position w:val="1"/>
                <w:sz w:val="21"/>
                <w:szCs w:val="21"/>
              </w:rPr>
              <w:t>%</w:t>
            </w:r>
          </w:p>
        </w:tc>
        <w:tc>
          <w:tcPr>
            <w:tcW w:w="695" w:type="pct"/>
            <w:vAlign w:val="center"/>
          </w:tcPr>
          <w:p w14:paraId="3B750F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7"/>
              <w:jc w:val="both"/>
              <w:textAlignment w:val="baseline"/>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3"/>
                <w:sz w:val="21"/>
                <w:szCs w:val="21"/>
              </w:rPr>
              <w:t>中西部地级及以上城</w:t>
            </w:r>
            <w:r>
              <w:rPr>
                <w:rFonts w:hint="eastAsia" w:ascii="仿宋_GB2312" w:hAnsi="仿宋_GB2312" w:eastAsia="仿宋_GB2312" w:cs="仿宋_GB2312"/>
                <w:sz w:val="21"/>
                <w:szCs w:val="21"/>
              </w:rPr>
              <w:t>市市辖区、东部地区</w:t>
            </w:r>
            <w:r>
              <w:rPr>
                <w:rFonts w:hint="eastAsia" w:ascii="仿宋_GB2312" w:hAnsi="仿宋_GB2312" w:eastAsia="仿宋_GB2312" w:cs="仿宋_GB2312"/>
                <w:spacing w:val="-2"/>
                <w:sz w:val="21"/>
                <w:szCs w:val="21"/>
              </w:rPr>
              <w:t>≥60；中西部其他地区</w:t>
            </w:r>
            <w:r>
              <w:rPr>
                <w:rFonts w:hint="eastAsia" w:ascii="仿宋_GB2312" w:hAnsi="仿宋_GB2312" w:eastAsia="仿宋_GB2312" w:cs="仿宋_GB2312"/>
                <w:spacing w:val="-2"/>
                <w:sz w:val="21"/>
                <w:szCs w:val="21"/>
                <w:lang w:eastAsia="zh-CN"/>
              </w:rPr>
              <w:t>、</w:t>
            </w:r>
            <w:r>
              <w:rPr>
                <w:rFonts w:hint="eastAsia" w:ascii="仿宋_GB2312" w:hAnsi="仿宋_GB2312" w:eastAsia="仿宋_GB2312" w:cs="仿宋_GB2312"/>
                <w:spacing w:val="-2"/>
                <w:sz w:val="21"/>
                <w:szCs w:val="21"/>
              </w:rPr>
              <w:t>东北</w:t>
            </w:r>
            <w:r>
              <w:rPr>
                <w:rFonts w:hint="eastAsia" w:ascii="仿宋_GB2312" w:hAnsi="仿宋_GB2312" w:eastAsia="仿宋_GB2312" w:cs="仿宋_GB2312"/>
                <w:sz w:val="21"/>
                <w:szCs w:val="21"/>
              </w:rPr>
              <w:t>地区：≥30</w:t>
            </w:r>
          </w:p>
        </w:tc>
        <w:tc>
          <w:tcPr>
            <w:tcW w:w="694" w:type="pct"/>
            <w:vAlign w:val="center"/>
          </w:tcPr>
          <w:p w14:paraId="498E75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96" w:right="6" w:rightChars="0" w:hanging="202" w:firstLineChars="0"/>
              <w:jc w:val="center"/>
              <w:rPr>
                <w:rFonts w:hint="default"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30.27</w:t>
            </w:r>
          </w:p>
        </w:tc>
        <w:tc>
          <w:tcPr>
            <w:tcW w:w="603" w:type="pct"/>
            <w:vAlign w:val="center"/>
          </w:tcPr>
          <w:p w14:paraId="7D2E57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96" w:right="6" w:rightChars="0" w:hanging="202" w:firstLineChars="0"/>
              <w:jc w:val="center"/>
              <w:rPr>
                <w:rFonts w:hint="default" w:ascii="仿宋_GB2312" w:hAnsi="仿宋_GB2312" w:eastAsia="仿宋_GB2312" w:cs="仿宋_GB2312"/>
                <w:spacing w:val="-2"/>
                <w:sz w:val="21"/>
                <w:szCs w:val="21"/>
                <w:lang w:val="en-US" w:eastAsia="zh-CN"/>
              </w:rPr>
            </w:pPr>
            <w:r>
              <w:rPr>
                <w:rFonts w:hint="eastAsia" w:ascii="仿宋_GB2312" w:hAnsi="仿宋_GB2312" w:eastAsia="仿宋_GB2312" w:cs="仿宋_GB2312"/>
                <w:sz w:val="21"/>
                <w:szCs w:val="21"/>
                <w:lang w:val="en-US" w:eastAsia="zh-CN"/>
              </w:rPr>
              <w:t>40</w:t>
            </w:r>
          </w:p>
        </w:tc>
        <w:tc>
          <w:tcPr>
            <w:tcW w:w="602" w:type="pct"/>
            <w:vAlign w:val="center"/>
          </w:tcPr>
          <w:p w14:paraId="12E052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96" w:right="6" w:rightChars="0" w:hanging="202" w:firstLine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45</w:t>
            </w:r>
          </w:p>
        </w:tc>
      </w:tr>
      <w:tr w14:paraId="0571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12" w:type="pct"/>
            <w:gridSpan w:val="2"/>
            <w:vMerge w:val="continue"/>
            <w:vAlign w:val="top"/>
          </w:tcPr>
          <w:p w14:paraId="561BDE01">
            <w:pPr>
              <w:keepNext w:val="0"/>
              <w:keepLines w:val="0"/>
              <w:pageBreakBefore w:val="0"/>
              <w:widowControl/>
              <w:kinsoku w:val="0"/>
              <w:wordWrap/>
              <w:overflowPunct/>
              <w:topLinePunct w:val="0"/>
              <w:autoSpaceDE w:val="0"/>
              <w:autoSpaceDN w:val="0"/>
              <w:bidi w:val="0"/>
              <w:adjustRightInd w:val="0"/>
              <w:snapToGrid w:val="0"/>
              <w:spacing w:line="240" w:lineRule="auto"/>
              <w:ind w:left="230" w:leftChars="0"/>
              <w:rPr>
                <w:rFonts w:hint="eastAsia" w:ascii="仿宋_GB2312" w:hAnsi="仿宋_GB2312" w:eastAsia="仿宋_GB2312" w:cs="仿宋_GB2312"/>
                <w:spacing w:val="7"/>
                <w:sz w:val="21"/>
                <w:szCs w:val="21"/>
              </w:rPr>
            </w:pPr>
          </w:p>
        </w:tc>
        <w:tc>
          <w:tcPr>
            <w:tcW w:w="279" w:type="pct"/>
            <w:vAlign w:val="center"/>
          </w:tcPr>
          <w:p w14:paraId="3F0322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z w:val="21"/>
                <w:szCs w:val="21"/>
              </w:rPr>
              <w:t>2</w:t>
            </w:r>
          </w:p>
        </w:tc>
        <w:tc>
          <w:tcPr>
            <w:tcW w:w="775" w:type="pct"/>
            <w:vAlign w:val="center"/>
          </w:tcPr>
          <w:p w14:paraId="30DC2E36">
            <w:pPr>
              <w:keepNext w:val="0"/>
              <w:keepLines w:val="0"/>
              <w:pageBreakBefore w:val="0"/>
              <w:widowControl/>
              <w:kinsoku w:val="0"/>
              <w:wordWrap/>
              <w:overflowPunct/>
              <w:topLinePunct w:val="0"/>
              <w:autoSpaceDE w:val="0"/>
              <w:autoSpaceDN w:val="0"/>
              <w:bidi w:val="0"/>
              <w:adjustRightInd w:val="0"/>
              <w:snapToGrid w:val="0"/>
              <w:spacing w:line="240" w:lineRule="auto"/>
              <w:ind w:left="9" w:leftChars="0"/>
              <w:jc w:val="both"/>
              <w:rPr>
                <w:rFonts w:hint="eastAsia" w:ascii="仿宋_GB2312" w:hAnsi="仿宋_GB2312" w:eastAsia="仿宋_GB2312" w:cs="仿宋_GB2312"/>
                <w:spacing w:val="9"/>
                <w:sz w:val="21"/>
                <w:szCs w:val="21"/>
              </w:rPr>
            </w:pPr>
            <w:r>
              <w:rPr>
                <w:rFonts w:hint="eastAsia" w:ascii="仿宋_GB2312" w:hAnsi="仿宋_GB2312" w:eastAsia="仿宋_GB2312" w:cs="仿宋_GB2312"/>
                <w:spacing w:val="8"/>
                <w:sz w:val="21"/>
                <w:szCs w:val="21"/>
              </w:rPr>
              <w:t>声环境功能区夜间达标率</w:t>
            </w:r>
          </w:p>
        </w:tc>
        <w:tc>
          <w:tcPr>
            <w:tcW w:w="336" w:type="pct"/>
            <w:vAlign w:val="center"/>
          </w:tcPr>
          <w:p w14:paraId="62E480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2"/>
                <w:position w:val="1"/>
                <w:sz w:val="21"/>
                <w:szCs w:val="21"/>
              </w:rPr>
            </w:pPr>
            <w:r>
              <w:rPr>
                <w:rFonts w:hint="eastAsia" w:ascii="仿宋_GB2312" w:hAnsi="仿宋_GB2312" w:eastAsia="仿宋_GB2312" w:cs="仿宋_GB2312"/>
                <w:spacing w:val="2"/>
                <w:position w:val="1"/>
                <w:sz w:val="21"/>
                <w:szCs w:val="21"/>
              </w:rPr>
              <w:t>%</w:t>
            </w:r>
          </w:p>
        </w:tc>
        <w:tc>
          <w:tcPr>
            <w:tcW w:w="695" w:type="pct"/>
            <w:vAlign w:val="center"/>
          </w:tcPr>
          <w:p w14:paraId="1F766BCB">
            <w:pPr>
              <w:keepNext w:val="0"/>
              <w:keepLines w:val="0"/>
              <w:pageBreakBefore w:val="0"/>
              <w:widowControl/>
              <w:kinsoku w:val="0"/>
              <w:wordWrap/>
              <w:overflowPunct/>
              <w:topLinePunct w:val="0"/>
              <w:autoSpaceDE w:val="0"/>
              <w:autoSpaceDN w:val="0"/>
              <w:bidi w:val="0"/>
              <w:adjustRightInd w:val="0"/>
              <w:snapToGrid w:val="0"/>
              <w:spacing w:line="240" w:lineRule="auto"/>
              <w:ind w:left="72"/>
              <w:jc w:val="both"/>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8"/>
                <w:sz w:val="21"/>
                <w:szCs w:val="21"/>
              </w:rPr>
              <w:t>完成上级规定的考核</w:t>
            </w:r>
            <w:r>
              <w:rPr>
                <w:rFonts w:hint="eastAsia" w:ascii="仿宋_GB2312" w:hAnsi="仿宋_GB2312" w:eastAsia="仿宋_GB2312" w:cs="仿宋_GB2312"/>
                <w:sz w:val="21"/>
                <w:szCs w:val="21"/>
              </w:rPr>
              <w:t>任务，且保持稳定或持</w:t>
            </w:r>
            <w:r>
              <w:rPr>
                <w:rFonts w:hint="eastAsia" w:ascii="仿宋_GB2312" w:hAnsi="仿宋_GB2312" w:eastAsia="仿宋_GB2312" w:cs="仿宋_GB2312"/>
                <w:spacing w:val="6"/>
                <w:sz w:val="21"/>
                <w:szCs w:val="21"/>
              </w:rPr>
              <w:t>续提高</w:t>
            </w:r>
          </w:p>
        </w:tc>
        <w:tc>
          <w:tcPr>
            <w:tcW w:w="694" w:type="pct"/>
            <w:vAlign w:val="center"/>
          </w:tcPr>
          <w:p w14:paraId="2C6DD03A">
            <w:pPr>
              <w:keepNext w:val="0"/>
              <w:keepLines w:val="0"/>
              <w:pageBreakBefore w:val="0"/>
              <w:widowControl/>
              <w:kinsoku w:val="0"/>
              <w:wordWrap/>
              <w:overflowPunct/>
              <w:topLinePunct w:val="0"/>
              <w:autoSpaceDE w:val="0"/>
              <w:autoSpaceDN w:val="0"/>
              <w:bidi w:val="0"/>
              <w:adjustRightInd w:val="0"/>
              <w:snapToGrid w:val="0"/>
              <w:spacing w:line="240" w:lineRule="auto"/>
              <w:ind w:left="72"/>
              <w:jc w:val="center"/>
              <w:rPr>
                <w:rFonts w:hint="default" w:ascii="仿宋_GB2312" w:hAnsi="仿宋_GB2312" w:eastAsia="仿宋_GB2312" w:cs="仿宋_GB2312"/>
                <w:spacing w:val="8"/>
                <w:sz w:val="21"/>
                <w:szCs w:val="21"/>
                <w:lang w:val="en-US" w:eastAsia="zh-CN"/>
              </w:rPr>
            </w:pPr>
            <w:r>
              <w:rPr>
                <w:rFonts w:hint="eastAsia" w:ascii="仿宋_GB2312" w:hAnsi="仿宋_GB2312" w:eastAsia="仿宋_GB2312" w:cs="仿宋_GB2312"/>
                <w:spacing w:val="8"/>
                <w:sz w:val="21"/>
                <w:szCs w:val="21"/>
                <w:lang w:val="en-US" w:eastAsia="zh-CN"/>
              </w:rPr>
              <w:t>上级无考核任务</w:t>
            </w:r>
          </w:p>
        </w:tc>
        <w:tc>
          <w:tcPr>
            <w:tcW w:w="603" w:type="pct"/>
            <w:vAlign w:val="center"/>
          </w:tcPr>
          <w:p w14:paraId="315B114F">
            <w:pPr>
              <w:keepNext w:val="0"/>
              <w:keepLines w:val="0"/>
              <w:pageBreakBefore w:val="0"/>
              <w:widowControl/>
              <w:kinsoku w:val="0"/>
              <w:wordWrap/>
              <w:overflowPunct/>
              <w:topLinePunct w:val="0"/>
              <w:autoSpaceDE w:val="0"/>
              <w:autoSpaceDN w:val="0"/>
              <w:bidi w:val="0"/>
              <w:adjustRightInd w:val="0"/>
              <w:snapToGrid w:val="0"/>
              <w:spacing w:line="240" w:lineRule="auto"/>
              <w:ind w:left="72"/>
              <w:jc w:val="both"/>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8"/>
                <w:sz w:val="21"/>
                <w:szCs w:val="21"/>
              </w:rPr>
              <w:t>完成上级规定的考核</w:t>
            </w:r>
            <w:r>
              <w:rPr>
                <w:rFonts w:hint="eastAsia" w:ascii="仿宋_GB2312" w:hAnsi="仿宋_GB2312" w:eastAsia="仿宋_GB2312" w:cs="仿宋_GB2312"/>
                <w:sz w:val="21"/>
                <w:szCs w:val="21"/>
              </w:rPr>
              <w:t>任务，且保持稳定或持</w:t>
            </w:r>
            <w:r>
              <w:rPr>
                <w:rFonts w:hint="eastAsia" w:ascii="仿宋_GB2312" w:hAnsi="仿宋_GB2312" w:eastAsia="仿宋_GB2312" w:cs="仿宋_GB2312"/>
                <w:spacing w:val="6"/>
                <w:sz w:val="21"/>
                <w:szCs w:val="21"/>
              </w:rPr>
              <w:t>续提高</w:t>
            </w:r>
          </w:p>
        </w:tc>
        <w:tc>
          <w:tcPr>
            <w:tcW w:w="602" w:type="pct"/>
            <w:vAlign w:val="center"/>
          </w:tcPr>
          <w:p w14:paraId="398F40BC">
            <w:pPr>
              <w:keepNext w:val="0"/>
              <w:keepLines w:val="0"/>
              <w:pageBreakBefore w:val="0"/>
              <w:widowControl/>
              <w:kinsoku w:val="0"/>
              <w:wordWrap/>
              <w:overflowPunct/>
              <w:topLinePunct w:val="0"/>
              <w:autoSpaceDE w:val="0"/>
              <w:autoSpaceDN w:val="0"/>
              <w:bidi w:val="0"/>
              <w:adjustRightInd w:val="0"/>
              <w:snapToGrid w:val="0"/>
              <w:spacing w:line="240" w:lineRule="auto"/>
              <w:ind w:left="72" w:leftChars="0"/>
              <w:jc w:val="both"/>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8"/>
                <w:sz w:val="21"/>
                <w:szCs w:val="21"/>
              </w:rPr>
              <w:t>完成上级规定的考核</w:t>
            </w:r>
            <w:r>
              <w:rPr>
                <w:rFonts w:hint="eastAsia" w:ascii="仿宋_GB2312" w:hAnsi="仿宋_GB2312" w:eastAsia="仿宋_GB2312" w:cs="仿宋_GB2312"/>
                <w:sz w:val="21"/>
                <w:szCs w:val="21"/>
              </w:rPr>
              <w:t>任务，且保持稳定或持</w:t>
            </w:r>
            <w:r>
              <w:rPr>
                <w:rFonts w:hint="eastAsia" w:ascii="仿宋_GB2312" w:hAnsi="仿宋_GB2312" w:eastAsia="仿宋_GB2312" w:cs="仿宋_GB2312"/>
                <w:spacing w:val="6"/>
                <w:sz w:val="21"/>
                <w:szCs w:val="21"/>
              </w:rPr>
              <w:t>续提高</w:t>
            </w:r>
          </w:p>
        </w:tc>
      </w:tr>
      <w:tr w14:paraId="0EED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12" w:type="pct"/>
            <w:gridSpan w:val="2"/>
            <w:vMerge w:val="continue"/>
            <w:vAlign w:val="top"/>
          </w:tcPr>
          <w:p w14:paraId="3F4B88FA">
            <w:pPr>
              <w:keepNext w:val="0"/>
              <w:keepLines w:val="0"/>
              <w:pageBreakBefore w:val="0"/>
              <w:widowControl/>
              <w:kinsoku w:val="0"/>
              <w:wordWrap/>
              <w:overflowPunct/>
              <w:topLinePunct w:val="0"/>
              <w:autoSpaceDE w:val="0"/>
              <w:autoSpaceDN w:val="0"/>
              <w:bidi w:val="0"/>
              <w:adjustRightInd w:val="0"/>
              <w:snapToGrid w:val="0"/>
              <w:spacing w:line="240" w:lineRule="auto"/>
              <w:ind w:left="230" w:leftChars="0"/>
              <w:rPr>
                <w:rFonts w:hint="eastAsia" w:ascii="仿宋_GB2312" w:hAnsi="仿宋_GB2312" w:eastAsia="仿宋_GB2312" w:cs="仿宋_GB2312"/>
                <w:spacing w:val="7"/>
                <w:sz w:val="21"/>
                <w:szCs w:val="21"/>
              </w:rPr>
            </w:pPr>
          </w:p>
        </w:tc>
        <w:tc>
          <w:tcPr>
            <w:tcW w:w="279" w:type="pct"/>
            <w:vAlign w:val="center"/>
          </w:tcPr>
          <w:p w14:paraId="778868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w:t>
            </w:r>
          </w:p>
        </w:tc>
        <w:tc>
          <w:tcPr>
            <w:tcW w:w="775" w:type="pct"/>
            <w:vAlign w:val="center"/>
          </w:tcPr>
          <w:p w14:paraId="67A7ACE2">
            <w:pPr>
              <w:keepNext w:val="0"/>
              <w:keepLines w:val="0"/>
              <w:pageBreakBefore w:val="0"/>
              <w:widowControl/>
              <w:kinsoku w:val="0"/>
              <w:wordWrap/>
              <w:overflowPunct/>
              <w:topLinePunct w:val="0"/>
              <w:autoSpaceDE w:val="0"/>
              <w:autoSpaceDN w:val="0"/>
              <w:bidi w:val="0"/>
              <w:adjustRightInd w:val="0"/>
              <w:snapToGrid w:val="0"/>
              <w:spacing w:line="240" w:lineRule="auto"/>
              <w:ind w:left="7" w:leftChars="0"/>
              <w:jc w:val="both"/>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8"/>
                <w:sz w:val="21"/>
                <w:szCs w:val="21"/>
              </w:rPr>
              <w:t>危险废物填埋处置量占比</w:t>
            </w:r>
          </w:p>
        </w:tc>
        <w:tc>
          <w:tcPr>
            <w:tcW w:w="336" w:type="pct"/>
            <w:vAlign w:val="center"/>
          </w:tcPr>
          <w:p w14:paraId="7CD416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2"/>
                <w:position w:val="1"/>
                <w:sz w:val="21"/>
                <w:szCs w:val="21"/>
              </w:rPr>
            </w:pPr>
            <w:r>
              <w:rPr>
                <w:rFonts w:hint="eastAsia" w:ascii="仿宋_GB2312" w:hAnsi="仿宋_GB2312" w:eastAsia="仿宋_GB2312" w:cs="仿宋_GB2312"/>
                <w:spacing w:val="2"/>
                <w:position w:val="1"/>
                <w:sz w:val="21"/>
                <w:szCs w:val="21"/>
              </w:rPr>
              <w:t>%</w:t>
            </w:r>
          </w:p>
        </w:tc>
        <w:tc>
          <w:tcPr>
            <w:tcW w:w="695" w:type="pct"/>
            <w:vAlign w:val="center"/>
          </w:tcPr>
          <w:p w14:paraId="27EEFA46">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6"/>
                <w:sz w:val="21"/>
                <w:szCs w:val="21"/>
              </w:rPr>
            </w:pPr>
            <w:r>
              <w:rPr>
                <w:rFonts w:hint="eastAsia" w:ascii="仿宋_GB2312" w:hAnsi="仿宋_GB2312" w:eastAsia="仿宋_GB2312" w:cs="仿宋_GB2312"/>
                <w:spacing w:val="7"/>
                <w:sz w:val="21"/>
                <w:szCs w:val="21"/>
              </w:rPr>
              <w:t>持续下降</w:t>
            </w:r>
          </w:p>
        </w:tc>
        <w:tc>
          <w:tcPr>
            <w:tcW w:w="694" w:type="pct"/>
            <w:vAlign w:val="center"/>
          </w:tcPr>
          <w:p w14:paraId="01FC8F91">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7"/>
                <w:sz w:val="21"/>
                <w:szCs w:val="21"/>
                <w:lang w:val="en-US" w:eastAsia="zh-CN"/>
              </w:rPr>
            </w:pPr>
            <w:r>
              <w:rPr>
                <w:rFonts w:hint="eastAsia" w:ascii="仿宋_GB2312" w:hAnsi="仿宋_GB2312" w:eastAsia="仿宋_GB2312" w:cs="仿宋_GB2312"/>
                <w:spacing w:val="7"/>
                <w:sz w:val="21"/>
                <w:szCs w:val="21"/>
                <w:lang w:val="en-US" w:eastAsia="zh-CN"/>
              </w:rPr>
              <w:t>全域全部转运后焚烧处理，无填埋处置</w:t>
            </w:r>
          </w:p>
        </w:tc>
        <w:tc>
          <w:tcPr>
            <w:tcW w:w="603" w:type="pct"/>
            <w:vAlign w:val="center"/>
          </w:tcPr>
          <w:p w14:paraId="22F50105">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7"/>
                <w:sz w:val="21"/>
                <w:szCs w:val="21"/>
                <w:lang w:val="en-US"/>
              </w:rPr>
            </w:pPr>
            <w:r>
              <w:rPr>
                <w:rFonts w:hint="eastAsia" w:ascii="仿宋_GB2312" w:hAnsi="仿宋_GB2312" w:eastAsia="仿宋_GB2312" w:cs="仿宋_GB2312"/>
                <w:spacing w:val="7"/>
                <w:sz w:val="21"/>
                <w:szCs w:val="21"/>
                <w:highlight w:val="none"/>
                <w:lang w:val="en-US" w:eastAsia="zh-CN"/>
              </w:rPr>
              <w:t>无填埋处置,0</w:t>
            </w:r>
          </w:p>
        </w:tc>
        <w:tc>
          <w:tcPr>
            <w:tcW w:w="602" w:type="pct"/>
            <w:vAlign w:val="center"/>
          </w:tcPr>
          <w:p w14:paraId="64730A2A">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仿宋_GB2312" w:hAnsi="仿宋_GB2312" w:eastAsia="仿宋_GB2312" w:cs="仿宋_GB2312"/>
                <w:spacing w:val="7"/>
                <w:sz w:val="21"/>
                <w:szCs w:val="21"/>
                <w:highlight w:val="none"/>
                <w:lang w:val="en-US" w:eastAsia="zh-CN"/>
              </w:rPr>
            </w:pPr>
            <w:r>
              <w:rPr>
                <w:rFonts w:hint="eastAsia" w:ascii="仿宋_GB2312" w:hAnsi="仿宋_GB2312" w:eastAsia="仿宋_GB2312" w:cs="仿宋_GB2312"/>
                <w:spacing w:val="7"/>
                <w:sz w:val="21"/>
                <w:szCs w:val="21"/>
                <w:highlight w:val="none"/>
                <w:lang w:val="en-US" w:eastAsia="zh-CN"/>
              </w:rPr>
              <w:t>无填埋处置,0</w:t>
            </w:r>
          </w:p>
        </w:tc>
      </w:tr>
      <w:tr w14:paraId="6F19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12" w:type="pct"/>
            <w:gridSpan w:val="2"/>
            <w:vMerge w:val="continue"/>
            <w:vAlign w:val="top"/>
          </w:tcPr>
          <w:p w14:paraId="121D52B4">
            <w:pPr>
              <w:keepNext w:val="0"/>
              <w:keepLines w:val="0"/>
              <w:pageBreakBefore w:val="0"/>
              <w:widowControl/>
              <w:kinsoku w:val="0"/>
              <w:wordWrap/>
              <w:overflowPunct/>
              <w:topLinePunct w:val="0"/>
              <w:autoSpaceDE w:val="0"/>
              <w:autoSpaceDN w:val="0"/>
              <w:bidi w:val="0"/>
              <w:adjustRightInd w:val="0"/>
              <w:snapToGrid w:val="0"/>
              <w:spacing w:line="240" w:lineRule="auto"/>
              <w:ind w:left="230" w:leftChars="0"/>
              <w:rPr>
                <w:rFonts w:hint="eastAsia" w:ascii="仿宋_GB2312" w:hAnsi="仿宋_GB2312" w:eastAsia="仿宋_GB2312" w:cs="仿宋_GB2312"/>
                <w:spacing w:val="7"/>
                <w:sz w:val="21"/>
                <w:szCs w:val="21"/>
              </w:rPr>
            </w:pPr>
          </w:p>
        </w:tc>
        <w:tc>
          <w:tcPr>
            <w:tcW w:w="279" w:type="pct"/>
            <w:vAlign w:val="center"/>
          </w:tcPr>
          <w:p w14:paraId="38C44D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4</w:t>
            </w:r>
          </w:p>
        </w:tc>
        <w:tc>
          <w:tcPr>
            <w:tcW w:w="775" w:type="pct"/>
            <w:vAlign w:val="center"/>
          </w:tcPr>
          <w:p w14:paraId="646C82E4">
            <w:pPr>
              <w:keepNext w:val="0"/>
              <w:keepLines w:val="0"/>
              <w:pageBreakBefore w:val="0"/>
              <w:widowControl/>
              <w:kinsoku w:val="0"/>
              <w:wordWrap/>
              <w:overflowPunct/>
              <w:topLinePunct w:val="0"/>
              <w:autoSpaceDE w:val="0"/>
              <w:autoSpaceDN w:val="0"/>
              <w:bidi w:val="0"/>
              <w:adjustRightInd w:val="0"/>
              <w:snapToGrid w:val="0"/>
              <w:spacing w:line="240" w:lineRule="auto"/>
              <w:ind w:left="4" w:leftChars="0"/>
              <w:jc w:val="both"/>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8"/>
                <w:sz w:val="21"/>
                <w:szCs w:val="21"/>
              </w:rPr>
              <w:t>河湖岸线保护率</w:t>
            </w:r>
          </w:p>
        </w:tc>
        <w:tc>
          <w:tcPr>
            <w:tcW w:w="336" w:type="pct"/>
            <w:vAlign w:val="center"/>
          </w:tcPr>
          <w:p w14:paraId="76AE3D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2"/>
                <w:position w:val="1"/>
                <w:sz w:val="21"/>
                <w:szCs w:val="21"/>
              </w:rPr>
            </w:pPr>
            <w:r>
              <w:rPr>
                <w:rFonts w:hint="eastAsia" w:ascii="仿宋_GB2312" w:hAnsi="仿宋_GB2312" w:eastAsia="仿宋_GB2312" w:cs="仿宋_GB2312"/>
                <w:spacing w:val="2"/>
                <w:position w:val="1"/>
                <w:sz w:val="21"/>
                <w:szCs w:val="21"/>
              </w:rPr>
              <w:t>%</w:t>
            </w:r>
          </w:p>
        </w:tc>
        <w:tc>
          <w:tcPr>
            <w:tcW w:w="695" w:type="pct"/>
            <w:vAlign w:val="center"/>
          </w:tcPr>
          <w:p w14:paraId="09D2E4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61" w:rightChars="0" w:firstLine="0" w:firstLineChars="0"/>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8"/>
                <w:sz w:val="21"/>
                <w:szCs w:val="21"/>
              </w:rPr>
              <w:t>完成上级规定的考核</w:t>
            </w:r>
            <w:r>
              <w:rPr>
                <w:rFonts w:hint="eastAsia" w:ascii="仿宋_GB2312" w:hAnsi="仿宋_GB2312" w:eastAsia="仿宋_GB2312" w:cs="仿宋_GB2312"/>
                <w:spacing w:val="5"/>
                <w:sz w:val="21"/>
                <w:szCs w:val="21"/>
              </w:rPr>
              <w:t>任务</w:t>
            </w:r>
          </w:p>
        </w:tc>
        <w:tc>
          <w:tcPr>
            <w:tcW w:w="694" w:type="pct"/>
            <w:vAlign w:val="center"/>
          </w:tcPr>
          <w:p w14:paraId="6378E3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61" w:rightChars="0" w:firstLine="0" w:firstLineChars="0"/>
              <w:jc w:val="center"/>
              <w:rPr>
                <w:rFonts w:hint="default" w:ascii="仿宋_GB2312" w:hAnsi="仿宋_GB2312" w:eastAsia="仿宋_GB2312" w:cs="仿宋_GB2312"/>
                <w:spacing w:val="8"/>
                <w:sz w:val="21"/>
                <w:szCs w:val="21"/>
                <w:lang w:val="en-US" w:eastAsia="zh-CN"/>
              </w:rPr>
            </w:pPr>
            <w:r>
              <w:rPr>
                <w:rFonts w:hint="eastAsia" w:ascii="仿宋_GB2312" w:hAnsi="仿宋_GB2312" w:eastAsia="仿宋_GB2312" w:cs="仿宋_GB2312"/>
                <w:spacing w:val="8"/>
                <w:sz w:val="21"/>
                <w:szCs w:val="21"/>
                <w:lang w:val="en-US" w:eastAsia="zh-CN"/>
              </w:rPr>
              <w:t>上级无考核任务</w:t>
            </w:r>
          </w:p>
        </w:tc>
        <w:tc>
          <w:tcPr>
            <w:tcW w:w="603" w:type="pct"/>
            <w:vAlign w:val="center"/>
          </w:tcPr>
          <w:p w14:paraId="6C00B0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61" w:rightChars="0" w:firstLine="0" w:firstLineChars="0"/>
              <w:jc w:val="center"/>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8"/>
                <w:sz w:val="21"/>
                <w:szCs w:val="21"/>
              </w:rPr>
              <w:t>完成上级规定的考核</w:t>
            </w:r>
            <w:r>
              <w:rPr>
                <w:rFonts w:hint="eastAsia" w:ascii="仿宋_GB2312" w:hAnsi="仿宋_GB2312" w:eastAsia="仿宋_GB2312" w:cs="仿宋_GB2312"/>
                <w:spacing w:val="5"/>
                <w:sz w:val="21"/>
                <w:szCs w:val="21"/>
              </w:rPr>
              <w:t>任务</w:t>
            </w:r>
          </w:p>
        </w:tc>
        <w:tc>
          <w:tcPr>
            <w:tcW w:w="602" w:type="pct"/>
            <w:vAlign w:val="center"/>
          </w:tcPr>
          <w:p w14:paraId="3E43C2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61" w:rightChars="0" w:firstLine="0" w:firstLineChars="0"/>
              <w:jc w:val="center"/>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8"/>
                <w:sz w:val="21"/>
                <w:szCs w:val="21"/>
              </w:rPr>
              <w:t>完成上级规定的考核</w:t>
            </w:r>
            <w:r>
              <w:rPr>
                <w:rFonts w:hint="eastAsia" w:ascii="仿宋_GB2312" w:hAnsi="仿宋_GB2312" w:eastAsia="仿宋_GB2312" w:cs="仿宋_GB2312"/>
                <w:spacing w:val="5"/>
                <w:sz w:val="21"/>
                <w:szCs w:val="21"/>
              </w:rPr>
              <w:t>任务</w:t>
            </w:r>
          </w:p>
        </w:tc>
      </w:tr>
      <w:tr w14:paraId="0CC9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12" w:type="pct"/>
            <w:gridSpan w:val="2"/>
            <w:vMerge w:val="continue"/>
            <w:vAlign w:val="top"/>
          </w:tcPr>
          <w:p w14:paraId="0C2A0C04">
            <w:pPr>
              <w:keepNext w:val="0"/>
              <w:keepLines w:val="0"/>
              <w:pageBreakBefore w:val="0"/>
              <w:widowControl/>
              <w:kinsoku w:val="0"/>
              <w:wordWrap/>
              <w:overflowPunct/>
              <w:topLinePunct w:val="0"/>
              <w:autoSpaceDE w:val="0"/>
              <w:autoSpaceDN w:val="0"/>
              <w:bidi w:val="0"/>
              <w:adjustRightInd w:val="0"/>
              <w:snapToGrid w:val="0"/>
              <w:spacing w:line="240" w:lineRule="auto"/>
              <w:ind w:left="230" w:leftChars="0"/>
              <w:rPr>
                <w:rFonts w:hint="eastAsia" w:ascii="仿宋_GB2312" w:hAnsi="仿宋_GB2312" w:eastAsia="仿宋_GB2312" w:cs="仿宋_GB2312"/>
                <w:spacing w:val="7"/>
                <w:sz w:val="21"/>
                <w:szCs w:val="21"/>
              </w:rPr>
            </w:pPr>
          </w:p>
        </w:tc>
        <w:tc>
          <w:tcPr>
            <w:tcW w:w="279" w:type="pct"/>
            <w:vAlign w:val="center"/>
          </w:tcPr>
          <w:p w14:paraId="70B57A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5</w:t>
            </w:r>
          </w:p>
        </w:tc>
        <w:tc>
          <w:tcPr>
            <w:tcW w:w="775" w:type="pct"/>
            <w:vAlign w:val="center"/>
          </w:tcPr>
          <w:p w14:paraId="398A2883">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both"/>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9"/>
                <w:sz w:val="21"/>
                <w:szCs w:val="21"/>
              </w:rPr>
              <w:t>规模以下畜禽粪污集中收运利用体系</w:t>
            </w:r>
          </w:p>
        </w:tc>
        <w:tc>
          <w:tcPr>
            <w:tcW w:w="336" w:type="pct"/>
            <w:vAlign w:val="center"/>
          </w:tcPr>
          <w:p w14:paraId="7E9BFE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2"/>
                <w:position w:val="1"/>
                <w:sz w:val="21"/>
                <w:szCs w:val="21"/>
              </w:rPr>
            </w:pPr>
            <w:r>
              <w:rPr>
                <w:rFonts w:hint="eastAsia" w:ascii="仿宋_GB2312" w:hAnsi="仿宋_GB2312" w:eastAsia="仿宋_GB2312" w:cs="仿宋_GB2312"/>
                <w:position w:val="-3"/>
                <w:sz w:val="21"/>
                <w:szCs w:val="21"/>
              </w:rPr>
              <w:t>-</w:t>
            </w:r>
          </w:p>
        </w:tc>
        <w:tc>
          <w:tcPr>
            <w:tcW w:w="695" w:type="pct"/>
            <w:vAlign w:val="center"/>
          </w:tcPr>
          <w:p w14:paraId="16870FBE">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4"/>
                <w:sz w:val="21"/>
                <w:szCs w:val="21"/>
              </w:rPr>
              <w:t>建立</w:t>
            </w:r>
          </w:p>
        </w:tc>
        <w:tc>
          <w:tcPr>
            <w:tcW w:w="694" w:type="pct"/>
            <w:vAlign w:val="center"/>
          </w:tcPr>
          <w:p w14:paraId="2DC8AC63">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建立</w:t>
            </w:r>
          </w:p>
        </w:tc>
        <w:tc>
          <w:tcPr>
            <w:tcW w:w="603" w:type="pct"/>
            <w:vAlign w:val="center"/>
          </w:tcPr>
          <w:p w14:paraId="1FC6B490">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建立</w:t>
            </w:r>
          </w:p>
        </w:tc>
        <w:tc>
          <w:tcPr>
            <w:tcW w:w="602" w:type="pct"/>
            <w:vAlign w:val="center"/>
          </w:tcPr>
          <w:p w14:paraId="09D49ACB">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建立</w:t>
            </w:r>
          </w:p>
        </w:tc>
      </w:tr>
      <w:tr w14:paraId="4457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12" w:type="pct"/>
            <w:gridSpan w:val="2"/>
            <w:vMerge w:val="continue"/>
            <w:vAlign w:val="top"/>
          </w:tcPr>
          <w:p w14:paraId="53699582">
            <w:pPr>
              <w:keepNext w:val="0"/>
              <w:keepLines w:val="0"/>
              <w:pageBreakBefore w:val="0"/>
              <w:widowControl/>
              <w:kinsoku w:val="0"/>
              <w:wordWrap/>
              <w:overflowPunct/>
              <w:topLinePunct w:val="0"/>
              <w:autoSpaceDE w:val="0"/>
              <w:autoSpaceDN w:val="0"/>
              <w:bidi w:val="0"/>
              <w:adjustRightInd w:val="0"/>
              <w:snapToGrid w:val="0"/>
              <w:spacing w:line="240" w:lineRule="auto"/>
              <w:ind w:left="230" w:leftChars="0"/>
              <w:rPr>
                <w:rFonts w:hint="eastAsia" w:ascii="仿宋_GB2312" w:hAnsi="仿宋_GB2312" w:eastAsia="仿宋_GB2312" w:cs="仿宋_GB2312"/>
                <w:spacing w:val="7"/>
                <w:sz w:val="21"/>
                <w:szCs w:val="21"/>
              </w:rPr>
            </w:pPr>
          </w:p>
        </w:tc>
        <w:tc>
          <w:tcPr>
            <w:tcW w:w="279" w:type="pct"/>
            <w:vAlign w:val="center"/>
          </w:tcPr>
          <w:p w14:paraId="50AA52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1"/>
                <w:sz w:val="21"/>
                <w:szCs w:val="21"/>
              </w:rPr>
            </w:pPr>
            <w:r>
              <w:rPr>
                <w:rFonts w:hint="eastAsia" w:ascii="仿宋_GB2312" w:hAnsi="仿宋_GB2312" w:eastAsia="仿宋_GB2312" w:cs="仿宋_GB2312"/>
                <w:sz w:val="21"/>
                <w:szCs w:val="21"/>
              </w:rPr>
              <w:t>6</w:t>
            </w:r>
          </w:p>
        </w:tc>
        <w:tc>
          <w:tcPr>
            <w:tcW w:w="775" w:type="pct"/>
            <w:vAlign w:val="center"/>
          </w:tcPr>
          <w:p w14:paraId="278D66A3">
            <w:pPr>
              <w:keepNext w:val="0"/>
              <w:keepLines w:val="0"/>
              <w:pageBreakBefore w:val="0"/>
              <w:widowControl/>
              <w:kinsoku w:val="0"/>
              <w:wordWrap/>
              <w:overflowPunct/>
              <w:topLinePunct w:val="0"/>
              <w:autoSpaceDE w:val="0"/>
              <w:autoSpaceDN w:val="0"/>
              <w:bidi w:val="0"/>
              <w:adjustRightInd w:val="0"/>
              <w:snapToGrid w:val="0"/>
              <w:spacing w:line="240" w:lineRule="auto"/>
              <w:ind w:left="5" w:leftChars="0"/>
              <w:jc w:val="both"/>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9"/>
                <w:sz w:val="21"/>
                <w:szCs w:val="21"/>
              </w:rPr>
              <w:t>耕地土壤有机质含量</w:t>
            </w:r>
          </w:p>
        </w:tc>
        <w:tc>
          <w:tcPr>
            <w:tcW w:w="336" w:type="pct"/>
            <w:vAlign w:val="center"/>
          </w:tcPr>
          <w:p w14:paraId="0D1E5E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rPr>
                <w:rFonts w:hint="eastAsia" w:ascii="仿宋_GB2312" w:hAnsi="仿宋_GB2312" w:eastAsia="仿宋_GB2312" w:cs="仿宋_GB2312"/>
                <w:spacing w:val="2"/>
                <w:position w:val="1"/>
                <w:sz w:val="21"/>
                <w:szCs w:val="21"/>
              </w:rPr>
            </w:pPr>
            <w:r>
              <w:rPr>
                <w:rFonts w:hint="eastAsia" w:ascii="仿宋_GB2312" w:hAnsi="仿宋_GB2312" w:eastAsia="仿宋_GB2312" w:cs="仿宋_GB2312"/>
                <w:spacing w:val="4"/>
                <w:sz w:val="21"/>
                <w:szCs w:val="21"/>
              </w:rPr>
              <w:t>g/</w:t>
            </w:r>
            <w:r>
              <w:rPr>
                <w:rFonts w:hint="eastAsia" w:ascii="仿宋_GB2312" w:hAnsi="仿宋_GB2312" w:eastAsia="仿宋_GB2312" w:cs="仿宋_GB2312"/>
                <w:sz w:val="21"/>
                <w:szCs w:val="21"/>
              </w:rPr>
              <w:t>kg</w:t>
            </w:r>
          </w:p>
        </w:tc>
        <w:tc>
          <w:tcPr>
            <w:tcW w:w="695" w:type="pct"/>
            <w:vAlign w:val="center"/>
          </w:tcPr>
          <w:p w14:paraId="5C6B723D">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7"/>
                <w:sz w:val="21"/>
                <w:szCs w:val="21"/>
              </w:rPr>
            </w:pPr>
            <w:r>
              <w:rPr>
                <w:rFonts w:hint="eastAsia" w:ascii="仿宋_GB2312" w:hAnsi="仿宋_GB2312" w:eastAsia="仿宋_GB2312" w:cs="仿宋_GB2312"/>
                <w:spacing w:val="-2"/>
                <w:sz w:val="21"/>
                <w:szCs w:val="21"/>
              </w:rPr>
              <w:t>保持稳定或有所提高</w:t>
            </w:r>
          </w:p>
        </w:tc>
        <w:tc>
          <w:tcPr>
            <w:tcW w:w="694" w:type="pct"/>
            <w:vAlign w:val="center"/>
          </w:tcPr>
          <w:p w14:paraId="24B9C830">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z w:val="21"/>
                <w:szCs w:val="21"/>
                <w:vertAlign w:val="baseline"/>
                <w:lang w:val="en-US" w:eastAsia="zh-CN"/>
              </w:rPr>
              <w:t>35.4；</w:t>
            </w:r>
            <w:r>
              <w:rPr>
                <w:rFonts w:hint="eastAsia" w:ascii="仿宋_GB2312" w:hAnsi="仿宋_GB2312" w:eastAsia="仿宋_GB2312" w:cs="仿宋_GB2312"/>
                <w:spacing w:val="-2"/>
                <w:sz w:val="21"/>
                <w:szCs w:val="21"/>
              </w:rPr>
              <w:t>有所提高</w:t>
            </w:r>
          </w:p>
        </w:tc>
        <w:tc>
          <w:tcPr>
            <w:tcW w:w="603" w:type="pct"/>
            <w:vAlign w:val="center"/>
          </w:tcPr>
          <w:p w14:paraId="717CB909">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保持稳定或有所提高</w:t>
            </w:r>
          </w:p>
        </w:tc>
        <w:tc>
          <w:tcPr>
            <w:tcW w:w="602" w:type="pct"/>
            <w:vAlign w:val="center"/>
          </w:tcPr>
          <w:p w14:paraId="625A75D0">
            <w:pPr>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保持稳定或有所提高</w:t>
            </w:r>
          </w:p>
        </w:tc>
      </w:tr>
    </w:tbl>
    <w:p w14:paraId="71A025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仿宋_GB2312" w:cs="Times New Roman"/>
          <w:b w:val="0"/>
          <w:bCs w:val="0"/>
          <w:snapToGrid/>
          <w:color w:val="auto"/>
          <w:kern w:val="2"/>
          <w:sz w:val="30"/>
          <w:szCs w:val="30"/>
          <w:highlight w:val="none"/>
          <w:lang w:val="en-US" w:eastAsia="zh-CN" w:bidi="ar-SA"/>
        </w:rPr>
      </w:pPr>
    </w:p>
    <w:p w14:paraId="34BF2FF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600" w:firstLineChars="200"/>
        <w:jc w:val="both"/>
        <w:textAlignment w:val="baseline"/>
        <w:rPr>
          <w:rFonts w:hint="default" w:ascii="Times New Roman" w:hAnsi="Times New Roman" w:eastAsia="仿宋_GB2312" w:cs="Times New Roman"/>
          <w:b w:val="0"/>
          <w:bCs w:val="0"/>
          <w:snapToGrid/>
          <w:color w:val="auto"/>
          <w:kern w:val="2"/>
          <w:sz w:val="30"/>
          <w:szCs w:val="30"/>
          <w:highlight w:val="none"/>
          <w:lang w:val="en-US" w:eastAsia="zh-CN" w:bidi="ar-SA"/>
        </w:rPr>
      </w:pPr>
    </w:p>
    <w:p w14:paraId="66CA6FA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仿宋_GB2312" w:cs="Times New Roman"/>
          <w:b w:val="0"/>
          <w:bCs w:val="0"/>
          <w:snapToGrid/>
          <w:color w:val="auto"/>
          <w:kern w:val="2"/>
          <w:sz w:val="30"/>
          <w:szCs w:val="30"/>
          <w:highlight w:val="none"/>
          <w:lang w:val="en-US" w:eastAsia="zh-CN" w:bidi="ar-SA"/>
        </w:rPr>
      </w:pPr>
    </w:p>
    <w:p w14:paraId="6EE31E6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仿宋_GB2312" w:cs="Times New Roman"/>
          <w:b w:val="0"/>
          <w:bCs w:val="0"/>
          <w:snapToGrid/>
          <w:color w:val="auto"/>
          <w:kern w:val="2"/>
          <w:sz w:val="30"/>
          <w:szCs w:val="30"/>
          <w:highlight w:val="none"/>
          <w:lang w:val="en-US" w:eastAsia="zh-CN" w:bidi="ar-SA"/>
        </w:rPr>
        <w:sectPr>
          <w:pgSz w:w="16838" w:h="11906" w:orient="landscape"/>
          <w:pgMar w:top="1800" w:right="1440" w:bottom="1800" w:left="1440" w:header="851" w:footer="992" w:gutter="0"/>
          <w:pgNumType w:fmt="decimal"/>
          <w:cols w:space="425" w:num="1"/>
          <w:docGrid w:type="lines" w:linePitch="312" w:charSpace="0"/>
        </w:sectPr>
      </w:pPr>
    </w:p>
    <w:p w14:paraId="70475B3C">
      <w:pPr>
        <w:pStyle w:val="2"/>
        <w:keepNext w:val="0"/>
        <w:keepLines w:val="0"/>
        <w:pageBreakBefore w:val="0"/>
        <w:widowControl w:val="0"/>
        <w:kinsoku/>
        <w:wordWrap/>
        <w:overflowPunct/>
        <w:topLinePunct w:val="0"/>
        <w:autoSpaceDE/>
        <w:autoSpaceDN/>
        <w:bidi w:val="0"/>
        <w:adjustRightInd/>
        <w:snapToGrid/>
        <w:jc w:val="both"/>
        <w:textAlignment w:val="auto"/>
        <w:rPr>
          <w:rFonts w:hint="eastAsia" w:cstheme="minorBidi"/>
          <w:snapToGrid/>
          <w:color w:val="auto"/>
          <w:szCs w:val="24"/>
          <w:highlight w:val="none"/>
          <w:lang w:eastAsia="zh-CN"/>
        </w:rPr>
      </w:pPr>
      <w:bookmarkStart w:id="46" w:name="_Toc30544"/>
      <w:bookmarkStart w:id="47" w:name="_Toc19430"/>
      <w:r>
        <w:rPr>
          <w:rFonts w:hint="eastAsia" w:cstheme="minorBidi"/>
          <w:snapToGrid/>
          <w:color w:val="auto"/>
          <w:szCs w:val="24"/>
          <w:highlight w:val="none"/>
          <w:lang w:eastAsia="zh-CN"/>
        </w:rPr>
        <w:t>三、规划重点任务</w:t>
      </w:r>
      <w:bookmarkEnd w:id="46"/>
      <w:bookmarkEnd w:id="47"/>
    </w:p>
    <w:p w14:paraId="56A780B9">
      <w:pPr>
        <w:pStyle w:val="3"/>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48" w:name="_Toc20000"/>
      <w:bookmarkStart w:id="49" w:name="_Toc494"/>
      <w:r>
        <w:rPr>
          <w:rFonts w:hint="eastAsia" w:ascii="方正楷体_GB2312" w:hAnsi="方正楷体_GB2312" w:eastAsia="方正楷体_GB2312" w:cs="方正楷体_GB2312"/>
          <w:b/>
          <w:bCs/>
          <w:snapToGrid/>
          <w:kern w:val="2"/>
          <w:szCs w:val="24"/>
          <w:highlight w:val="none"/>
          <w:lang w:eastAsia="zh-CN"/>
        </w:rPr>
        <w:t>（一）目标责任体系建设</w:t>
      </w:r>
      <w:bookmarkEnd w:id="48"/>
      <w:bookmarkEnd w:id="49"/>
    </w:p>
    <w:p w14:paraId="4CFE7F0F">
      <w:pPr>
        <w:pStyle w:val="4"/>
        <w:keepNext w:val="0"/>
        <w:keepLines w:val="0"/>
        <w:pageBreakBefore w:val="0"/>
        <w:widowControl w:val="0"/>
        <w:numPr>
          <w:ilvl w:val="0"/>
          <w:numId w:val="7"/>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50" w:name="_Toc11917"/>
      <w:bookmarkStart w:id="51" w:name="_Toc17877"/>
      <w:r>
        <w:rPr>
          <w:rFonts w:hint="eastAsia" w:ascii="仿宋_GB2312" w:hAnsi="仿宋_GB2312" w:eastAsia="仿宋_GB2312" w:cs="仿宋_GB2312"/>
          <w:snapToGrid/>
          <w:kern w:val="2"/>
          <w:sz w:val="30"/>
          <w:szCs w:val="30"/>
          <w:highlight w:val="none"/>
          <w:lang w:val="en-US" w:eastAsia="zh-CN"/>
        </w:rPr>
        <w:t>建立生态文明建设目标考核制度</w:t>
      </w:r>
      <w:bookmarkEnd w:id="50"/>
      <w:bookmarkEnd w:id="51"/>
    </w:p>
    <w:p w14:paraId="3E7EDA68">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严格落实“</w:t>
      </w:r>
      <w:r>
        <w:rPr>
          <w:rFonts w:hint="default" w:ascii="Times New Roman" w:hAnsi="Times New Roman" w:eastAsia="仿宋_GB2312" w:cs="Times New Roman"/>
          <w:b/>
          <w:bCs/>
          <w:snapToGrid/>
          <w:color w:val="auto"/>
          <w:kern w:val="2"/>
          <w:sz w:val="30"/>
          <w:szCs w:val="30"/>
          <w:highlight w:val="none"/>
          <w:lang w:val="en-US" w:eastAsia="zh-CN" w:bidi="ar-SA"/>
        </w:rPr>
        <w:t>党政同责</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default" w:ascii="Times New Roman" w:hAnsi="Times New Roman" w:eastAsia="仿宋_GB2312" w:cs="Times New Roman"/>
          <w:b/>
          <w:bCs/>
          <w:snapToGrid/>
          <w:color w:val="auto"/>
          <w:kern w:val="2"/>
          <w:sz w:val="30"/>
          <w:szCs w:val="30"/>
          <w:highlight w:val="none"/>
          <w:lang w:val="en-US" w:eastAsia="zh-CN" w:bidi="ar-SA"/>
        </w:rPr>
        <w:t>一岗双责</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确保</w:t>
      </w:r>
      <w:r>
        <w:rPr>
          <w:rFonts w:hint="eastAsia" w:ascii="Times New Roman" w:hAnsi="Times New Roman" w:eastAsia="仿宋_GB2312" w:cs="Times New Roman"/>
          <w:snapToGrid/>
          <w:color w:val="auto"/>
          <w:kern w:val="2"/>
          <w:sz w:val="30"/>
          <w:szCs w:val="30"/>
          <w:highlight w:val="none"/>
          <w:lang w:val="en-US" w:eastAsia="zh-CN" w:bidi="ar-SA"/>
        </w:rPr>
        <w:t>市级各职能部门和乡镇</w:t>
      </w:r>
      <w:r>
        <w:rPr>
          <w:rFonts w:hint="default" w:ascii="Times New Roman" w:hAnsi="Times New Roman" w:eastAsia="仿宋_GB2312" w:cs="Times New Roman"/>
          <w:snapToGrid/>
          <w:color w:val="auto"/>
          <w:kern w:val="2"/>
          <w:sz w:val="30"/>
          <w:szCs w:val="30"/>
          <w:highlight w:val="none"/>
          <w:lang w:val="en-US" w:eastAsia="zh-CN" w:bidi="ar-SA"/>
        </w:rPr>
        <w:t>党委和政府领导成员对生态文明建设承担共同责任，即党政领导成员不仅要负责本职工作，同时也要负责生态文明建设的责任，形成共同推进生态文明建设的合力。</w:t>
      </w:r>
      <w:r>
        <w:rPr>
          <w:rFonts w:hint="eastAsia" w:ascii="Times New Roman" w:hAnsi="Times New Roman" w:eastAsia="仿宋_GB2312" w:cs="Times New Roman"/>
          <w:snapToGrid/>
          <w:color w:val="auto"/>
          <w:kern w:val="2"/>
          <w:sz w:val="30"/>
          <w:szCs w:val="30"/>
          <w:highlight w:val="none"/>
          <w:lang w:val="en-US" w:eastAsia="zh-CN" w:bidi="ar-SA"/>
        </w:rPr>
        <w:t>到2025年，进一步建立健全生态环境治理的领导责任制度建设，基本形成责任明确、分工合理、机制有效、组织健全的目标责任制度体系。</w:t>
      </w:r>
    </w:p>
    <w:p w14:paraId="286CCFAF">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ascii="Times New Roman" w:hAnsi="Times New Roman" w:eastAsia="仿宋_GB2312" w:cs="Times New Roman"/>
          <w:snapToGrid/>
          <w:color w:val="auto"/>
          <w:kern w:val="2"/>
          <w:sz w:val="30"/>
          <w:szCs w:val="30"/>
          <w:highlight w:val="none"/>
          <w:lang w:val="en-US" w:eastAsia="zh-CN" w:bidi="ar-SA"/>
        </w:rPr>
      </w:pPr>
      <w:r>
        <w:rPr>
          <w:rFonts w:hint="default" w:ascii="Times New Roman" w:hAnsi="Times New Roman" w:eastAsia="仿宋_GB2312" w:cs="Times New Roman"/>
          <w:b/>
          <w:bCs/>
          <w:snapToGrid/>
          <w:color w:val="auto"/>
          <w:kern w:val="2"/>
          <w:sz w:val="30"/>
          <w:szCs w:val="30"/>
          <w:highlight w:val="none"/>
          <w:lang w:val="en-US" w:eastAsia="zh-CN" w:bidi="ar-SA"/>
        </w:rPr>
        <w:t>‌构建统一的评价考核体系</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进一步细化实化</w:t>
      </w:r>
      <w:r>
        <w:rPr>
          <w:rFonts w:hint="default" w:ascii="Times New Roman" w:hAnsi="Times New Roman" w:eastAsia="仿宋_GB2312" w:cs="Times New Roman"/>
          <w:snapToGrid/>
          <w:color w:val="auto"/>
          <w:kern w:val="2"/>
          <w:sz w:val="30"/>
          <w:szCs w:val="30"/>
          <w:highlight w:val="none"/>
          <w:lang w:val="en-US" w:eastAsia="zh-CN" w:bidi="ar-SA"/>
        </w:rPr>
        <w:fldChar w:fldCharType="begin"/>
      </w:r>
      <w:r>
        <w:rPr>
          <w:rFonts w:hint="default" w:ascii="Times New Roman" w:hAnsi="Times New Roman" w:eastAsia="仿宋_GB2312" w:cs="Times New Roman"/>
          <w:snapToGrid/>
          <w:color w:val="auto"/>
          <w:kern w:val="2"/>
          <w:sz w:val="30"/>
          <w:szCs w:val="30"/>
          <w:highlight w:val="none"/>
          <w:lang w:val="en-US" w:eastAsia="zh-CN" w:bidi="ar-SA"/>
        </w:rPr>
        <w:instrText xml:space="preserve"> HYPERLINK "https://www.baidu.com/s?sa=re_dqa_generate&amp;wd=%E3%80%8A%E7%94%9F%E6%80%81%E6%96%87%E6%98%8E%E5%BB%BA%E8%AE%BE%E7%9B%AE%E6%A0%87%E8%AF%84%E4%BB%B7%E8%80%83%E6%A0%B8%E5%8A%9E%E6%B3%95%E3%80%8B&amp;rsv_pq=da0822b1000412c0&amp;oq=%E5%BB%BA%E7%AB%8B%E7%94%9F%E6%80%81%E6%96%87%E6%98%8E%E5%BB%BA%E8%AE%BE%E7%9B%AE%E6%A0%87%E8%80%83%E6%A0%B8%E5%88%B6%E5%BA%A6%E7%9A%84%E6%8E%AA%E6%96%BD&amp;rsv_t=22a9ozqVWRa+pAhafWQ9fVDroRGLMQH40hqR4RtzIgtNcKtcLkOOUjvHuiKubqps6+u7fbdpyh0r&amp;tn=62095104_26_oem_dg&amp;ie=utf-8" \t "https://www.baidu.com/_blank" </w:instrText>
      </w:r>
      <w:r>
        <w:rPr>
          <w:rFonts w:hint="default" w:ascii="Times New Roman" w:hAnsi="Times New Roman" w:eastAsia="仿宋_GB2312" w:cs="Times New Roman"/>
          <w:snapToGrid/>
          <w:color w:val="auto"/>
          <w:kern w:val="2"/>
          <w:sz w:val="30"/>
          <w:szCs w:val="30"/>
          <w:highlight w:val="none"/>
          <w:lang w:val="en-US" w:eastAsia="zh-CN" w:bidi="ar-SA"/>
        </w:rPr>
        <w:fldChar w:fldCharType="separate"/>
      </w:r>
      <w:r>
        <w:rPr>
          <w:rFonts w:hint="default" w:ascii="Times New Roman" w:hAnsi="Times New Roman" w:eastAsia="仿宋_GB2312" w:cs="Times New Roman"/>
          <w:snapToGrid/>
          <w:color w:val="auto"/>
          <w:kern w:val="2"/>
          <w:sz w:val="30"/>
          <w:szCs w:val="30"/>
          <w:highlight w:val="none"/>
          <w:lang w:val="en-US" w:eastAsia="zh-CN" w:bidi="ar-SA"/>
        </w:rPr>
        <w:t>生态文明建设目标评价考核办法</w:t>
      </w:r>
      <w:r>
        <w:rPr>
          <w:rFonts w:hint="eastAsia" w:ascii="Times New Roman" w:hAnsi="Times New Roman" w:eastAsia="仿宋_GB2312" w:cs="Times New Roman"/>
          <w:snapToGrid/>
          <w:color w:val="auto"/>
          <w:kern w:val="2"/>
          <w:sz w:val="30"/>
          <w:szCs w:val="30"/>
          <w:highlight w:val="none"/>
          <w:lang w:val="en-US" w:eastAsia="zh-CN" w:bidi="ar-SA"/>
        </w:rPr>
        <w:t>及</w:t>
      </w:r>
      <w:r>
        <w:rPr>
          <w:rFonts w:hint="default" w:ascii="Times New Roman" w:hAnsi="Times New Roman" w:eastAsia="仿宋_GB2312" w:cs="Times New Roman"/>
          <w:snapToGrid/>
          <w:color w:val="auto"/>
          <w:kern w:val="2"/>
          <w:sz w:val="30"/>
          <w:szCs w:val="30"/>
          <w:highlight w:val="none"/>
          <w:lang w:val="en-US" w:eastAsia="zh-CN" w:bidi="ar-SA"/>
        </w:rPr>
        <w:fldChar w:fldCharType="end"/>
      </w:r>
      <w:r>
        <w:rPr>
          <w:rFonts w:hint="eastAsia" w:ascii="Times New Roman" w:hAnsi="Times New Roman" w:eastAsia="仿宋_GB2312" w:cs="Times New Roman"/>
          <w:snapToGrid/>
          <w:color w:val="auto"/>
          <w:kern w:val="2"/>
          <w:sz w:val="30"/>
          <w:szCs w:val="30"/>
          <w:highlight w:val="none"/>
          <w:lang w:val="en-US" w:eastAsia="zh-CN" w:bidi="ar-SA"/>
        </w:rPr>
        <w:t>实施细则</w:t>
      </w:r>
      <w:r>
        <w:rPr>
          <w:rFonts w:hint="default" w:ascii="Times New Roman" w:hAnsi="Times New Roman" w:eastAsia="仿宋_GB2312" w:cs="Times New Roman"/>
          <w:snapToGrid/>
          <w:color w:val="auto"/>
          <w:kern w:val="2"/>
          <w:sz w:val="30"/>
          <w:szCs w:val="30"/>
          <w:highlight w:val="none"/>
          <w:lang w:val="en-US" w:eastAsia="zh-CN" w:bidi="ar-SA"/>
        </w:rPr>
        <w:t>，构建统一的生态文明建设目标评价考核体系，</w:t>
      </w:r>
      <w:r>
        <w:rPr>
          <w:rFonts w:hint="eastAsia" w:ascii="Times New Roman" w:hAnsi="Times New Roman" w:eastAsia="仿宋_GB2312" w:cs="Times New Roman"/>
          <w:snapToGrid/>
          <w:color w:val="auto"/>
          <w:kern w:val="2"/>
          <w:sz w:val="30"/>
          <w:szCs w:val="30"/>
          <w:highlight w:val="none"/>
          <w:lang w:val="en-US" w:eastAsia="zh-CN" w:bidi="ar-SA"/>
        </w:rPr>
        <w:t>要全面</w:t>
      </w:r>
      <w:r>
        <w:rPr>
          <w:rFonts w:hint="default" w:ascii="Times New Roman" w:hAnsi="Times New Roman" w:eastAsia="仿宋_GB2312" w:cs="Times New Roman"/>
          <w:snapToGrid/>
          <w:color w:val="auto"/>
          <w:kern w:val="2"/>
          <w:sz w:val="30"/>
          <w:szCs w:val="30"/>
          <w:highlight w:val="none"/>
          <w:lang w:val="en-US" w:eastAsia="zh-CN" w:bidi="ar-SA"/>
        </w:rPr>
        <w:t>覆盖资源利用、环境治理、环境质量、生态保护、增长质量、绿色生活等多个方面，通过年度评价和五年考核相结合的方式，全面评估各</w:t>
      </w:r>
      <w:r>
        <w:rPr>
          <w:rFonts w:hint="eastAsia" w:ascii="Times New Roman" w:hAnsi="Times New Roman" w:eastAsia="仿宋_GB2312" w:cs="Times New Roman"/>
          <w:snapToGrid/>
          <w:color w:val="auto"/>
          <w:kern w:val="2"/>
          <w:sz w:val="30"/>
          <w:szCs w:val="30"/>
          <w:highlight w:val="none"/>
          <w:lang w:val="en-US" w:eastAsia="zh-CN" w:bidi="ar-SA"/>
        </w:rPr>
        <w:t>单位各部门</w:t>
      </w:r>
      <w:r>
        <w:rPr>
          <w:rFonts w:hint="default" w:ascii="Times New Roman" w:hAnsi="Times New Roman" w:eastAsia="仿宋_GB2312" w:cs="Times New Roman"/>
          <w:snapToGrid/>
          <w:color w:val="auto"/>
          <w:kern w:val="2"/>
          <w:sz w:val="30"/>
          <w:szCs w:val="30"/>
          <w:highlight w:val="none"/>
          <w:lang w:val="en-US" w:eastAsia="zh-CN" w:bidi="ar-SA"/>
        </w:rPr>
        <w:t>的生态文明建设</w:t>
      </w:r>
      <w:r>
        <w:rPr>
          <w:rFonts w:hint="eastAsia" w:ascii="Times New Roman" w:hAnsi="Times New Roman" w:eastAsia="仿宋_GB2312" w:cs="Times New Roman"/>
          <w:snapToGrid/>
          <w:color w:val="auto"/>
          <w:kern w:val="2"/>
          <w:sz w:val="30"/>
          <w:szCs w:val="30"/>
          <w:highlight w:val="none"/>
          <w:lang w:val="en-US" w:eastAsia="zh-CN" w:bidi="ar-SA"/>
        </w:rPr>
        <w:t>情况</w:t>
      </w:r>
      <w:r>
        <w:rPr>
          <w:rFonts w:hint="default" w:ascii="Times New Roman" w:hAnsi="Times New Roman" w:eastAsia="仿宋_GB2312" w:cs="Times New Roman"/>
          <w:snapToGrid/>
          <w:color w:val="auto"/>
          <w:kern w:val="2"/>
          <w:sz w:val="30"/>
          <w:szCs w:val="30"/>
          <w:highlight w:val="none"/>
          <w:lang w:val="en-US" w:eastAsia="zh-CN" w:bidi="ar-SA"/>
        </w:rPr>
        <w:t>。</w:t>
      </w:r>
    </w:p>
    <w:p w14:paraId="21F2EAC7">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ascii="Times New Roman" w:hAnsi="Times New Roman" w:eastAsia="仿宋_GB2312" w:cs="Times New Roman"/>
          <w:snapToGrid/>
          <w:color w:val="auto"/>
          <w:kern w:val="2"/>
          <w:sz w:val="30"/>
          <w:szCs w:val="30"/>
          <w:highlight w:val="none"/>
          <w:lang w:val="en-US" w:eastAsia="zh-CN" w:bidi="ar-SA"/>
        </w:rPr>
      </w:pPr>
      <w:r>
        <w:rPr>
          <w:rFonts w:hint="default" w:ascii="Times New Roman" w:hAnsi="Times New Roman" w:eastAsia="仿宋_GB2312" w:cs="Times New Roman"/>
          <w:b/>
          <w:bCs/>
          <w:snapToGrid/>
          <w:color w:val="auto"/>
          <w:kern w:val="2"/>
          <w:sz w:val="30"/>
          <w:szCs w:val="30"/>
          <w:highlight w:val="none"/>
          <w:lang w:val="en-US" w:eastAsia="zh-CN" w:bidi="ar-SA"/>
        </w:rPr>
        <w:t>‌强化</w:t>
      </w:r>
      <w:r>
        <w:rPr>
          <w:rFonts w:hint="eastAsia" w:ascii="Times New Roman" w:hAnsi="Times New Roman" w:eastAsia="仿宋_GB2312" w:cs="Times New Roman"/>
          <w:b/>
          <w:bCs/>
          <w:snapToGrid/>
          <w:color w:val="auto"/>
          <w:kern w:val="2"/>
          <w:sz w:val="30"/>
          <w:szCs w:val="30"/>
          <w:highlight w:val="none"/>
          <w:lang w:val="en-US" w:eastAsia="zh-CN" w:bidi="ar-SA"/>
        </w:rPr>
        <w:t>部门、乡镇党</w:t>
      </w:r>
      <w:r>
        <w:rPr>
          <w:rFonts w:hint="default" w:ascii="Times New Roman" w:hAnsi="Times New Roman" w:eastAsia="仿宋_GB2312" w:cs="Times New Roman"/>
          <w:b/>
          <w:bCs/>
          <w:snapToGrid/>
          <w:color w:val="auto"/>
          <w:kern w:val="2"/>
          <w:sz w:val="30"/>
          <w:szCs w:val="30"/>
          <w:highlight w:val="none"/>
          <w:lang w:val="en-US" w:eastAsia="zh-CN" w:bidi="ar-SA"/>
        </w:rPr>
        <w:t>委政府主体责任</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通过考核</w:t>
      </w:r>
      <w:r>
        <w:rPr>
          <w:rFonts w:hint="eastAsia" w:ascii="Times New Roman" w:hAnsi="Times New Roman" w:eastAsia="仿宋_GB2312" w:cs="Times New Roman"/>
          <w:snapToGrid/>
          <w:color w:val="auto"/>
          <w:kern w:val="2"/>
          <w:sz w:val="30"/>
          <w:szCs w:val="30"/>
          <w:highlight w:val="none"/>
          <w:lang w:val="en-US" w:eastAsia="zh-CN" w:bidi="ar-SA"/>
        </w:rPr>
        <w:t>各部门各单位</w:t>
      </w:r>
      <w:r>
        <w:rPr>
          <w:rFonts w:hint="default" w:ascii="Times New Roman" w:hAnsi="Times New Roman" w:eastAsia="仿宋_GB2312" w:cs="Times New Roman"/>
          <w:snapToGrid/>
          <w:color w:val="auto"/>
          <w:kern w:val="2"/>
          <w:sz w:val="30"/>
          <w:szCs w:val="30"/>
          <w:highlight w:val="none"/>
          <w:lang w:val="en-US" w:eastAsia="zh-CN" w:bidi="ar-SA"/>
        </w:rPr>
        <w:t>生态文明建设重点目标任务完成情况，</w:t>
      </w:r>
      <w:r>
        <w:rPr>
          <w:rFonts w:hint="eastAsia" w:ascii="Times New Roman" w:hAnsi="Times New Roman" w:eastAsia="仿宋_GB2312" w:cs="Times New Roman"/>
          <w:snapToGrid/>
          <w:color w:val="auto"/>
          <w:kern w:val="2"/>
          <w:sz w:val="30"/>
          <w:szCs w:val="30"/>
          <w:highlight w:val="none"/>
          <w:lang w:val="en-US" w:eastAsia="zh-CN" w:bidi="ar-SA"/>
        </w:rPr>
        <w:t>重点要强化乡镇</w:t>
      </w:r>
      <w:r>
        <w:rPr>
          <w:rFonts w:hint="default" w:ascii="Times New Roman" w:hAnsi="Times New Roman" w:eastAsia="仿宋_GB2312" w:cs="Times New Roman"/>
          <w:snapToGrid/>
          <w:color w:val="auto"/>
          <w:kern w:val="2"/>
          <w:sz w:val="30"/>
          <w:szCs w:val="30"/>
          <w:highlight w:val="none"/>
          <w:lang w:val="en-US" w:eastAsia="zh-CN" w:bidi="ar-SA"/>
        </w:rPr>
        <w:t>党委和政府生态文明建设的主体责任，督促各</w:t>
      </w:r>
      <w:r>
        <w:rPr>
          <w:rFonts w:hint="eastAsia" w:ascii="Times New Roman" w:hAnsi="Times New Roman" w:eastAsia="仿宋_GB2312" w:cs="Times New Roman"/>
          <w:snapToGrid/>
          <w:color w:val="auto"/>
          <w:kern w:val="2"/>
          <w:sz w:val="30"/>
          <w:szCs w:val="30"/>
          <w:highlight w:val="none"/>
          <w:lang w:val="en-US" w:eastAsia="zh-CN" w:bidi="ar-SA"/>
        </w:rPr>
        <w:t>乡镇</w:t>
      </w:r>
      <w:r>
        <w:rPr>
          <w:rFonts w:hint="default" w:ascii="Times New Roman" w:hAnsi="Times New Roman" w:eastAsia="仿宋_GB2312" w:cs="Times New Roman"/>
          <w:snapToGrid/>
          <w:color w:val="auto"/>
          <w:kern w:val="2"/>
          <w:sz w:val="30"/>
          <w:szCs w:val="30"/>
          <w:highlight w:val="none"/>
          <w:lang w:val="en-US" w:eastAsia="zh-CN" w:bidi="ar-SA"/>
        </w:rPr>
        <w:t>自觉推进生态文明建设‌。到2030年，基本形成系统完整、导向清晰、决策科学、执行有力的生态文明责任目标体系，为生态环境治理提供有力支撑。</w:t>
      </w:r>
    </w:p>
    <w:p w14:paraId="6D50C88D">
      <w:pPr>
        <w:pStyle w:val="4"/>
        <w:keepNext w:val="0"/>
        <w:keepLines w:val="0"/>
        <w:pageBreakBefore w:val="0"/>
        <w:widowControl w:val="0"/>
        <w:numPr>
          <w:ilvl w:val="0"/>
          <w:numId w:val="7"/>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52" w:name="_Toc7925"/>
      <w:bookmarkStart w:id="53" w:name="_Toc19967"/>
      <w:r>
        <w:rPr>
          <w:rFonts w:hint="eastAsia" w:ascii="仿宋_GB2312" w:hAnsi="仿宋_GB2312" w:eastAsia="仿宋_GB2312" w:cs="仿宋_GB2312"/>
          <w:snapToGrid/>
          <w:kern w:val="2"/>
          <w:sz w:val="30"/>
          <w:szCs w:val="30"/>
          <w:highlight w:val="none"/>
          <w:lang w:val="en-US" w:eastAsia="zh-CN"/>
        </w:rPr>
        <w:t>严格党政领导干部生态环境损害责任追究</w:t>
      </w:r>
      <w:bookmarkEnd w:id="52"/>
      <w:bookmarkEnd w:id="53"/>
    </w:p>
    <w:p w14:paraId="5EDEEF86">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加强制度建设。</w:t>
      </w:r>
      <w:r>
        <w:rPr>
          <w:rFonts w:hint="eastAsia" w:ascii="Times New Roman" w:hAnsi="Times New Roman" w:eastAsia="仿宋_GB2312" w:cs="Times New Roman"/>
          <w:snapToGrid/>
          <w:color w:val="auto"/>
          <w:kern w:val="2"/>
          <w:sz w:val="30"/>
          <w:szCs w:val="30"/>
          <w:highlight w:val="none"/>
          <w:lang w:val="en-US" w:eastAsia="zh-CN" w:bidi="ar-SA"/>
        </w:rPr>
        <w:t>按照国家及省市相关要求，进一步明确各部门各乡镇</w:t>
      </w:r>
      <w:r>
        <w:rPr>
          <w:rFonts w:hint="default" w:ascii="Times New Roman" w:hAnsi="Times New Roman" w:eastAsia="仿宋_GB2312" w:cs="Times New Roman"/>
          <w:snapToGrid/>
          <w:color w:val="auto"/>
          <w:kern w:val="2"/>
          <w:sz w:val="30"/>
          <w:szCs w:val="30"/>
          <w:highlight w:val="none"/>
          <w:lang w:val="en-US" w:eastAsia="zh-CN" w:bidi="ar-SA"/>
        </w:rPr>
        <w:t>党委和政府对本</w:t>
      </w:r>
      <w:r>
        <w:rPr>
          <w:rFonts w:hint="eastAsia" w:ascii="Times New Roman" w:hAnsi="Times New Roman" w:eastAsia="仿宋_GB2312" w:cs="Times New Roman"/>
          <w:snapToGrid/>
          <w:color w:val="auto"/>
          <w:kern w:val="2"/>
          <w:sz w:val="30"/>
          <w:szCs w:val="30"/>
          <w:highlight w:val="none"/>
          <w:lang w:val="en-US" w:eastAsia="zh-CN" w:bidi="ar-SA"/>
        </w:rPr>
        <w:t>单位本</w:t>
      </w:r>
      <w:r>
        <w:rPr>
          <w:rFonts w:hint="default" w:ascii="Times New Roman" w:hAnsi="Times New Roman" w:eastAsia="仿宋_GB2312" w:cs="Times New Roman"/>
          <w:snapToGrid/>
          <w:color w:val="auto"/>
          <w:kern w:val="2"/>
          <w:sz w:val="30"/>
          <w:szCs w:val="30"/>
          <w:highlight w:val="none"/>
          <w:lang w:val="en-US" w:eastAsia="zh-CN" w:bidi="ar-SA"/>
        </w:rPr>
        <w:t>地区生态环境和资源保护负总责，党委和政府主要领导成员承担主要责任，其他有关领导成员在职责范围内承担相应责任。</w:t>
      </w:r>
      <w:r>
        <w:rPr>
          <w:rFonts w:hint="eastAsia" w:ascii="Times New Roman" w:hAnsi="Times New Roman" w:eastAsia="仿宋_GB2312" w:cs="Times New Roman"/>
          <w:snapToGrid/>
          <w:color w:val="auto"/>
          <w:kern w:val="2"/>
          <w:sz w:val="30"/>
          <w:szCs w:val="30"/>
          <w:highlight w:val="none"/>
          <w:lang w:val="en-US" w:eastAsia="zh-CN" w:bidi="ar-SA"/>
        </w:rPr>
        <w:t>结合我市实际制定出台党政领导干部生态环境损害赔偿责任追究相关制度</w:t>
      </w:r>
      <w:r>
        <w:rPr>
          <w:rFonts w:hint="default" w:ascii="Times New Roman" w:hAnsi="Times New Roman" w:eastAsia="仿宋_GB2312" w:cs="Times New Roman"/>
          <w:snapToGrid/>
          <w:color w:val="auto"/>
          <w:kern w:val="2"/>
          <w:sz w:val="30"/>
          <w:szCs w:val="30"/>
          <w:highlight w:val="none"/>
          <w:lang w:val="en-US" w:eastAsia="zh-CN" w:bidi="ar-SA"/>
        </w:rPr>
        <w:t>。</w:t>
      </w:r>
    </w:p>
    <w:p w14:paraId="318291B2">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ascii="Times New Roman" w:hAnsi="Times New Roman" w:eastAsia="仿宋_GB2312" w:cs="Times New Roman"/>
          <w:snapToGrid/>
          <w:color w:val="auto"/>
          <w:kern w:val="2"/>
          <w:sz w:val="30"/>
          <w:szCs w:val="30"/>
          <w:highlight w:val="none"/>
          <w:lang w:val="en-US" w:eastAsia="zh-CN" w:bidi="ar-SA"/>
        </w:rPr>
      </w:pPr>
      <w:r>
        <w:rPr>
          <w:rFonts w:hint="default" w:ascii="Times New Roman" w:hAnsi="Times New Roman" w:eastAsia="仿宋_GB2312" w:cs="Times New Roman"/>
          <w:b/>
          <w:bCs/>
          <w:snapToGrid/>
          <w:color w:val="auto"/>
          <w:kern w:val="2"/>
          <w:sz w:val="30"/>
          <w:szCs w:val="30"/>
          <w:highlight w:val="none"/>
          <w:lang w:val="en-US" w:eastAsia="zh-CN" w:bidi="ar-SA"/>
        </w:rPr>
        <w:t>‌确立追究原则</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坚持依法依规、客观公正、科学认定、权责一致、终身追究的原则，</w:t>
      </w:r>
      <w:r>
        <w:rPr>
          <w:rFonts w:hint="eastAsia" w:ascii="Times New Roman" w:hAnsi="Times New Roman" w:eastAsia="仿宋_GB2312" w:cs="Times New Roman"/>
          <w:snapToGrid/>
          <w:color w:val="auto"/>
          <w:kern w:val="2"/>
          <w:sz w:val="30"/>
          <w:szCs w:val="30"/>
          <w:highlight w:val="none"/>
          <w:lang w:val="en-US" w:eastAsia="zh-CN" w:bidi="ar-SA"/>
        </w:rPr>
        <w:t>如实追究</w:t>
      </w:r>
      <w:r>
        <w:rPr>
          <w:rFonts w:hint="default" w:ascii="Times New Roman" w:hAnsi="Times New Roman" w:eastAsia="仿宋_GB2312" w:cs="Times New Roman"/>
          <w:snapToGrid/>
          <w:color w:val="auto"/>
          <w:kern w:val="2"/>
          <w:sz w:val="30"/>
          <w:szCs w:val="30"/>
          <w:highlight w:val="none"/>
          <w:lang w:val="en-US" w:eastAsia="zh-CN" w:bidi="ar-SA"/>
        </w:rPr>
        <w:t>党政领导干部生态环境损害责任</w:t>
      </w:r>
      <w:r>
        <w:rPr>
          <w:rFonts w:hint="eastAsia" w:ascii="Times New Roman" w:hAnsi="Times New Roman" w:eastAsia="仿宋_GB2312" w:cs="Times New Roman"/>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确保追究的严肃性和公正性‌。</w:t>
      </w:r>
    </w:p>
    <w:p w14:paraId="06025520">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sz w:val="30"/>
          <w:szCs w:val="30"/>
          <w:highlight w:val="none"/>
          <w:lang w:val="en-US" w:eastAsia="zh-CN"/>
        </w:rPr>
      </w:pPr>
      <w:r>
        <w:rPr>
          <w:rFonts w:hint="eastAsia" w:ascii="Times New Roman" w:hAnsi="Times New Roman" w:eastAsia="仿宋_GB2312" w:cs="Times New Roman"/>
          <w:b/>
          <w:bCs/>
          <w:snapToGrid/>
          <w:color w:val="auto"/>
          <w:kern w:val="2"/>
          <w:sz w:val="30"/>
          <w:szCs w:val="30"/>
          <w:highlight w:val="none"/>
          <w:lang w:val="en-US" w:eastAsia="zh-CN" w:bidi="ar-SA"/>
        </w:rPr>
        <w:t>细化</w:t>
      </w:r>
      <w:r>
        <w:rPr>
          <w:rFonts w:hint="default" w:ascii="Times New Roman" w:hAnsi="Times New Roman" w:eastAsia="仿宋_GB2312" w:cs="Times New Roman"/>
          <w:b/>
          <w:bCs/>
          <w:snapToGrid/>
          <w:color w:val="auto"/>
          <w:kern w:val="2"/>
          <w:sz w:val="30"/>
          <w:szCs w:val="30"/>
          <w:highlight w:val="none"/>
          <w:lang w:val="en-US" w:eastAsia="zh-CN" w:bidi="ar-SA"/>
        </w:rPr>
        <w:t>追究情形</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包括贯彻落实</w:t>
      </w:r>
      <w:r>
        <w:rPr>
          <w:rFonts w:hint="eastAsia" w:ascii="Times New Roman" w:hAnsi="Times New Roman" w:eastAsia="仿宋_GB2312" w:cs="Times New Roman"/>
          <w:snapToGrid/>
          <w:color w:val="auto"/>
          <w:kern w:val="2"/>
          <w:sz w:val="30"/>
          <w:szCs w:val="30"/>
          <w:highlight w:val="none"/>
          <w:lang w:val="en-US" w:eastAsia="zh-CN" w:bidi="ar-SA"/>
        </w:rPr>
        <w:t>党中央及上级各级</w:t>
      </w:r>
      <w:r>
        <w:rPr>
          <w:rFonts w:hint="default" w:ascii="Times New Roman" w:hAnsi="Times New Roman" w:eastAsia="仿宋_GB2312" w:cs="Times New Roman"/>
          <w:snapToGrid/>
          <w:color w:val="auto"/>
          <w:kern w:val="2"/>
          <w:sz w:val="30"/>
          <w:szCs w:val="30"/>
          <w:highlight w:val="none"/>
          <w:lang w:val="en-US" w:eastAsia="zh-CN" w:bidi="ar-SA"/>
        </w:rPr>
        <w:t>关于生态文明建设的决策部署不力、作出的决策与生态环境和资源方面政策、法律法规相违背、违反主体功能区定位或突破资源环境生态红线等情形，导致生态环境和资源问题突出或生态环境状况明显恶化的，应当追究相关地方党委和政府主要领导成员的责任‌。</w:t>
      </w:r>
    </w:p>
    <w:p w14:paraId="47CD68E5">
      <w:pPr>
        <w:pStyle w:val="4"/>
        <w:keepNext w:val="0"/>
        <w:keepLines w:val="0"/>
        <w:pageBreakBefore w:val="0"/>
        <w:widowControl w:val="0"/>
        <w:numPr>
          <w:ilvl w:val="0"/>
          <w:numId w:val="7"/>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54" w:name="_Toc29894"/>
      <w:bookmarkStart w:id="55" w:name="_Toc2922"/>
      <w:r>
        <w:rPr>
          <w:rFonts w:hint="eastAsia" w:ascii="仿宋_GB2312" w:hAnsi="仿宋_GB2312" w:eastAsia="仿宋_GB2312" w:cs="仿宋_GB2312"/>
          <w:snapToGrid/>
          <w:kern w:val="2"/>
          <w:sz w:val="30"/>
          <w:szCs w:val="30"/>
          <w:highlight w:val="none"/>
          <w:lang w:val="en-US" w:eastAsia="zh-CN"/>
        </w:rPr>
        <w:t>开展领导干部自然资源资产离任审计</w:t>
      </w:r>
      <w:bookmarkEnd w:id="54"/>
      <w:bookmarkEnd w:id="55"/>
    </w:p>
    <w:p w14:paraId="72EA0927">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ascii="Times New Roman" w:hAnsi="Times New Roman" w:eastAsia="仿宋_GB2312" w:cs="Times New Roman"/>
          <w:snapToGrid/>
          <w:color w:val="auto"/>
          <w:kern w:val="2"/>
          <w:sz w:val="30"/>
          <w:szCs w:val="30"/>
          <w:highlight w:val="none"/>
          <w:lang w:val="en-US" w:eastAsia="zh-CN" w:bidi="ar-SA"/>
        </w:rPr>
      </w:pPr>
      <w:r>
        <w:rPr>
          <w:rFonts w:hint="default" w:ascii="Times New Roman" w:hAnsi="Times New Roman" w:eastAsia="仿宋_GB2312" w:cs="Times New Roman"/>
          <w:b/>
          <w:bCs/>
          <w:snapToGrid/>
          <w:color w:val="auto"/>
          <w:kern w:val="2"/>
          <w:sz w:val="30"/>
          <w:szCs w:val="30"/>
          <w:highlight w:val="none"/>
          <w:lang w:val="en-US" w:eastAsia="zh-CN" w:bidi="ar-SA"/>
        </w:rPr>
        <w:t>‌完善制度体系，科学开展评价</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建立</w:t>
      </w:r>
      <w:r>
        <w:rPr>
          <w:rFonts w:hint="default" w:ascii="Times New Roman" w:hAnsi="Times New Roman" w:eastAsia="仿宋_GB2312" w:cs="Times New Roman"/>
          <w:snapToGrid/>
          <w:color w:val="auto"/>
          <w:kern w:val="2"/>
          <w:sz w:val="30"/>
          <w:szCs w:val="30"/>
          <w:highlight w:val="none"/>
          <w:lang w:val="en-US" w:eastAsia="zh-CN" w:bidi="ar-SA"/>
        </w:rPr>
        <w:t>健全领导干部自然资源资产离任审计</w:t>
      </w:r>
      <w:r>
        <w:rPr>
          <w:rFonts w:hint="eastAsia" w:ascii="Times New Roman" w:hAnsi="Times New Roman" w:eastAsia="仿宋_GB2312" w:cs="Times New Roman"/>
          <w:snapToGrid/>
          <w:color w:val="auto"/>
          <w:kern w:val="2"/>
          <w:sz w:val="30"/>
          <w:szCs w:val="30"/>
          <w:highlight w:val="none"/>
          <w:lang w:val="en-US" w:eastAsia="zh-CN" w:bidi="ar-SA"/>
        </w:rPr>
        <w:t>相关制度</w:t>
      </w:r>
      <w:r>
        <w:rPr>
          <w:rFonts w:hint="default" w:ascii="Times New Roman" w:hAnsi="Times New Roman" w:eastAsia="仿宋_GB2312" w:cs="Times New Roman"/>
          <w:snapToGrid/>
          <w:color w:val="auto"/>
          <w:kern w:val="2"/>
          <w:sz w:val="30"/>
          <w:szCs w:val="30"/>
          <w:highlight w:val="none"/>
          <w:lang w:val="en-US" w:eastAsia="zh-CN" w:bidi="ar-SA"/>
        </w:rPr>
        <w:t>，紧密围绕党中央、国务院在资源环境领域的重大战略部署、法律法规和改革举措，深化以人民为中心的理念，将饮用水水源地保护、农村人居环境整治、耕地保护等群众和社会关注焦点列入审计重点，解决人民群众最关心最直接最现实的利益问题，增强人民群众的获得感、幸福感、安全感。</w:t>
      </w:r>
    </w:p>
    <w:p w14:paraId="0BE0F36F">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ascii="Times New Roman" w:hAnsi="Times New Roman" w:eastAsia="仿宋_GB2312" w:cs="Times New Roman"/>
          <w:snapToGrid/>
          <w:color w:val="auto"/>
          <w:kern w:val="2"/>
          <w:sz w:val="30"/>
          <w:szCs w:val="30"/>
          <w:highlight w:val="none"/>
          <w:lang w:val="en-US" w:eastAsia="zh-CN" w:bidi="ar-SA"/>
        </w:rPr>
      </w:pPr>
      <w:r>
        <w:rPr>
          <w:rFonts w:hint="default" w:ascii="Times New Roman" w:hAnsi="Times New Roman" w:eastAsia="仿宋_GB2312" w:cs="Times New Roman"/>
          <w:b/>
          <w:bCs/>
          <w:snapToGrid/>
          <w:color w:val="auto"/>
          <w:kern w:val="2"/>
          <w:sz w:val="30"/>
          <w:szCs w:val="30"/>
          <w:highlight w:val="none"/>
          <w:lang w:val="en-US" w:eastAsia="zh-CN" w:bidi="ar-SA"/>
        </w:rPr>
        <w:t>‌夯实审计基础，提升审计质效</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认真研究领导干部自然资源资产离任审计规定、审计评价指标体系等政策法规，严格依照法定职责、权限和程序开展审计，持续推进审计工作规范化建设。通过严格规范工作流程，‌创新审计方法，利用地理信息技术进行图斑、影像等数据综合对比分析，通过多旋翼无人机航拍精准取证，全方位加强、全过程控制、全流程做实</w:t>
      </w:r>
      <w:r>
        <w:rPr>
          <w:rFonts w:hint="eastAsia" w:ascii="Times New Roman" w:hAnsi="Times New Roman" w:eastAsia="仿宋_GB2312" w:cs="Times New Roman"/>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把审计质量作为审计工作的“生命线”</w:t>
      </w:r>
      <w:r>
        <w:rPr>
          <w:rFonts w:hint="eastAsia" w:ascii="Times New Roman" w:hAnsi="Times New Roman" w:eastAsia="仿宋_GB2312" w:cs="Times New Roman"/>
          <w:snapToGrid/>
          <w:color w:val="auto"/>
          <w:kern w:val="2"/>
          <w:sz w:val="30"/>
          <w:szCs w:val="30"/>
          <w:highlight w:val="none"/>
          <w:lang w:val="en-US" w:eastAsia="zh-CN" w:bidi="ar-SA"/>
        </w:rPr>
        <w:t>。</w:t>
      </w:r>
    </w:p>
    <w:p w14:paraId="633F3FD6">
      <w:pPr>
        <w:pageBreakBefore w:val="0"/>
        <w:widowControl/>
        <w:kinsoku w:val="0"/>
        <w:wordWrap/>
        <w:overflowPunct/>
        <w:topLinePunct w:val="0"/>
        <w:autoSpaceDE w:val="0"/>
        <w:autoSpaceDN w:val="0"/>
        <w:bidi w:val="0"/>
        <w:adjustRightInd w:val="0"/>
        <w:snapToGrid w:val="0"/>
        <w:spacing w:line="360" w:lineRule="auto"/>
        <w:ind w:firstLine="602" w:firstLineChars="200"/>
        <w:textAlignment w:val="baseline"/>
        <w:rPr>
          <w:rFonts w:hint="default"/>
          <w:sz w:val="30"/>
          <w:szCs w:val="30"/>
          <w:highlight w:val="none"/>
          <w:lang w:val="en-US" w:eastAsia="zh-CN"/>
        </w:rPr>
      </w:pPr>
      <w:r>
        <w:rPr>
          <w:rFonts w:hint="default" w:ascii="Times New Roman" w:hAnsi="Times New Roman" w:eastAsia="仿宋_GB2312" w:cs="Times New Roman"/>
          <w:b/>
          <w:bCs/>
          <w:snapToGrid/>
          <w:color w:val="auto"/>
          <w:kern w:val="2"/>
          <w:sz w:val="30"/>
          <w:szCs w:val="30"/>
          <w:highlight w:val="none"/>
          <w:lang w:val="en-US" w:eastAsia="zh-CN" w:bidi="ar-SA"/>
        </w:rPr>
        <w:t>‌压实整改责任，深化结果运用</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对自然资源资产审计发现的问题实行清单化管理，对账销号，加强与纪检监察、组织人事、巡视巡察沟通协调，形成督促整改合力。精准把握“三个区分开来”，鼓励领导干部探索创新，担当作为，引导领导干部牢固树立“绿水青山就是金山银山”的生态文明政绩观，促进问题整改到位，切实把审计监督成效转化为治理效能。</w:t>
      </w:r>
    </w:p>
    <w:p w14:paraId="295EE01D">
      <w:pPr>
        <w:pStyle w:val="4"/>
        <w:keepNext w:val="0"/>
        <w:keepLines w:val="0"/>
        <w:pageBreakBefore w:val="0"/>
        <w:widowControl w:val="0"/>
        <w:numPr>
          <w:ilvl w:val="0"/>
          <w:numId w:val="7"/>
        </w:numPr>
        <w:kinsoku/>
        <w:wordWrap/>
        <w:overflowPunct/>
        <w:topLinePunct w:val="0"/>
        <w:autoSpaceDE/>
        <w:autoSpaceDN/>
        <w:bidi w:val="0"/>
        <w:adjustRightInd/>
        <w:snapToGrid/>
        <w:ind w:left="425" w:leftChars="0" w:hanging="425" w:firstLineChars="0"/>
        <w:jc w:val="both"/>
        <w:textAlignment w:val="auto"/>
        <w:rPr>
          <w:rFonts w:hint="default" w:ascii="仿宋_GB2312" w:hAnsi="仿宋_GB2312" w:eastAsia="仿宋_GB2312" w:cs="仿宋_GB2312"/>
          <w:snapToGrid/>
          <w:kern w:val="2"/>
          <w:sz w:val="30"/>
          <w:szCs w:val="30"/>
          <w:highlight w:val="none"/>
          <w:lang w:val="en-US" w:eastAsia="zh-CN"/>
        </w:rPr>
      </w:pPr>
      <w:bookmarkStart w:id="56" w:name="_Toc10738"/>
      <w:bookmarkStart w:id="57" w:name="_Toc7379"/>
      <w:r>
        <w:rPr>
          <w:rFonts w:hint="eastAsia" w:ascii="仿宋_GB2312" w:hAnsi="仿宋_GB2312" w:eastAsia="仿宋_GB2312" w:cs="仿宋_GB2312"/>
          <w:snapToGrid/>
          <w:kern w:val="2"/>
          <w:sz w:val="30"/>
          <w:szCs w:val="30"/>
          <w:highlight w:val="none"/>
          <w:lang w:val="en-US" w:eastAsia="zh-CN"/>
        </w:rPr>
        <w:t>落实中央生态环境保护督察制度</w:t>
      </w:r>
      <w:bookmarkEnd w:id="56"/>
      <w:bookmarkEnd w:id="57"/>
    </w:p>
    <w:p w14:paraId="6CEDDA12">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建立健全督察工作制度体系。</w:t>
      </w:r>
      <w:r>
        <w:rPr>
          <w:rFonts w:hint="default" w:ascii="Times New Roman" w:hAnsi="Times New Roman" w:eastAsia="仿宋_GB2312" w:cs="Times New Roman"/>
          <w:snapToGrid/>
          <w:color w:val="auto"/>
          <w:kern w:val="2"/>
          <w:sz w:val="30"/>
          <w:szCs w:val="30"/>
          <w:highlight w:val="none"/>
          <w:lang w:val="en-US" w:eastAsia="zh-CN" w:bidi="ar-SA"/>
        </w:rPr>
        <w:t>‌制定和实施</w:t>
      </w:r>
      <w:r>
        <w:rPr>
          <w:rFonts w:hint="default" w:ascii="Times New Roman" w:hAnsi="Times New Roman" w:eastAsia="仿宋_GB2312" w:cs="Times New Roman"/>
          <w:snapToGrid/>
          <w:color w:val="auto"/>
          <w:kern w:val="2"/>
          <w:sz w:val="30"/>
          <w:szCs w:val="30"/>
          <w:highlight w:val="none"/>
          <w:lang w:val="en-US" w:eastAsia="zh-CN" w:bidi="ar-SA"/>
        </w:rPr>
        <w:fldChar w:fldCharType="begin"/>
      </w:r>
      <w:r>
        <w:rPr>
          <w:rFonts w:hint="default" w:ascii="Times New Roman" w:hAnsi="Times New Roman" w:eastAsia="仿宋_GB2312" w:cs="Times New Roman"/>
          <w:snapToGrid/>
          <w:color w:val="auto"/>
          <w:kern w:val="2"/>
          <w:sz w:val="30"/>
          <w:szCs w:val="30"/>
          <w:highlight w:val="none"/>
          <w:lang w:val="en-US" w:eastAsia="zh-CN" w:bidi="ar-SA"/>
        </w:rPr>
        <w:instrText xml:space="preserve"> HYPERLINK "https://www.baidu.com/s?sa=re_dqa_generate&amp;wd=%E3%80%8A%E4%B8%AD%E5%A4%AE%E7%94%9F%E6%80%81%E7%8E%AF%E5%A2%83%E4%BF%9D%E6%8A%A4%E7%9D%A3%E5%AF%9F%E5%B7%A5%E4%BD%9C%E8%A7%84%E5%AE%9A%E3%80%8B&amp;rsv_pq=970bc64e000b1377&amp;oq=%E8%90%BD%E5%AE%9E%E4%B8%AD%E5%A4%AE%E7%94%9F%E6%80%81%E7%8E%AF%E5%A2%83%E4%BF%9D%E6%8A%A4%E7%9D%A3%E5%AF%9F%E5%88%B6%E5%BA%A6%E7%9A%84%E6%8E%AA%E6%96%BD&amp;rsv_t=99d6izHygYpg3nfcD22kgaG6khRNMiE9fLeUPXHZ470HREUTL2/Cxf9mIVEXh9N4DlVIijxEyGeB&amp;tn=62095104_26_oem_dg&amp;ie=utf-8" \t "https://www.baidu.com/_blank" </w:instrText>
      </w:r>
      <w:r>
        <w:rPr>
          <w:rFonts w:hint="default" w:ascii="Times New Roman" w:hAnsi="Times New Roman" w:eastAsia="仿宋_GB2312" w:cs="Times New Roman"/>
          <w:snapToGrid/>
          <w:color w:val="auto"/>
          <w:kern w:val="2"/>
          <w:sz w:val="30"/>
          <w:szCs w:val="30"/>
          <w:highlight w:val="none"/>
          <w:lang w:val="en-US" w:eastAsia="zh-CN" w:bidi="ar-SA"/>
        </w:rPr>
        <w:fldChar w:fldCharType="separate"/>
      </w:r>
      <w:r>
        <w:rPr>
          <w:rFonts w:hint="eastAsia" w:ascii="Times New Roman" w:hAnsi="Times New Roman" w:eastAsia="仿宋_GB2312" w:cs="Times New Roman"/>
          <w:snapToGrid/>
          <w:color w:val="auto"/>
          <w:kern w:val="2"/>
          <w:sz w:val="30"/>
          <w:szCs w:val="30"/>
          <w:highlight w:val="none"/>
          <w:lang w:val="en-US" w:eastAsia="zh-CN" w:bidi="ar-SA"/>
        </w:rPr>
        <w:t>落实</w:t>
      </w:r>
      <w:r>
        <w:rPr>
          <w:rFonts w:hint="default" w:ascii="Times New Roman" w:hAnsi="Times New Roman" w:eastAsia="仿宋_GB2312" w:cs="Times New Roman"/>
          <w:snapToGrid/>
          <w:color w:val="auto"/>
          <w:kern w:val="2"/>
          <w:sz w:val="30"/>
          <w:szCs w:val="30"/>
          <w:highlight w:val="none"/>
          <w:lang w:val="en-US" w:eastAsia="zh-CN" w:bidi="ar-SA"/>
        </w:rPr>
        <w:t>中央</w:t>
      </w:r>
      <w:r>
        <w:rPr>
          <w:rFonts w:hint="eastAsia" w:ascii="Times New Roman" w:hAnsi="Times New Roman" w:eastAsia="仿宋_GB2312" w:cs="Times New Roman"/>
          <w:snapToGrid/>
          <w:color w:val="auto"/>
          <w:kern w:val="2"/>
          <w:sz w:val="30"/>
          <w:szCs w:val="30"/>
          <w:highlight w:val="none"/>
          <w:lang w:val="en-US" w:eastAsia="zh-CN" w:bidi="ar-SA"/>
        </w:rPr>
        <w:t>及各级</w:t>
      </w:r>
      <w:r>
        <w:rPr>
          <w:rFonts w:hint="default" w:ascii="Times New Roman" w:hAnsi="Times New Roman" w:eastAsia="仿宋_GB2312" w:cs="Times New Roman"/>
          <w:snapToGrid/>
          <w:color w:val="auto"/>
          <w:kern w:val="2"/>
          <w:sz w:val="30"/>
          <w:szCs w:val="30"/>
          <w:highlight w:val="none"/>
          <w:lang w:val="en-US" w:eastAsia="zh-CN" w:bidi="ar-SA"/>
        </w:rPr>
        <w:t>生态环境保护督察</w:t>
      </w:r>
      <w:r>
        <w:rPr>
          <w:rFonts w:hint="eastAsia" w:ascii="Times New Roman" w:hAnsi="Times New Roman" w:eastAsia="仿宋_GB2312" w:cs="Times New Roman"/>
          <w:snapToGrid/>
          <w:color w:val="auto"/>
          <w:kern w:val="2"/>
          <w:sz w:val="30"/>
          <w:szCs w:val="30"/>
          <w:highlight w:val="none"/>
          <w:lang w:val="en-US" w:eastAsia="zh-CN" w:bidi="ar-SA"/>
        </w:rPr>
        <w:t>整改</w:t>
      </w:r>
      <w:r>
        <w:rPr>
          <w:rFonts w:hint="default" w:ascii="Times New Roman" w:hAnsi="Times New Roman" w:eastAsia="仿宋_GB2312" w:cs="Times New Roman"/>
          <w:snapToGrid/>
          <w:color w:val="auto"/>
          <w:kern w:val="2"/>
          <w:sz w:val="30"/>
          <w:szCs w:val="30"/>
          <w:highlight w:val="none"/>
          <w:lang w:val="en-US" w:eastAsia="zh-CN" w:bidi="ar-SA"/>
        </w:rPr>
        <w:t>工作</w:t>
      </w:r>
      <w:r>
        <w:rPr>
          <w:rFonts w:hint="eastAsia" w:ascii="Times New Roman" w:hAnsi="Times New Roman" w:eastAsia="仿宋_GB2312" w:cs="Times New Roman"/>
          <w:snapToGrid/>
          <w:color w:val="auto"/>
          <w:kern w:val="2"/>
          <w:sz w:val="30"/>
          <w:szCs w:val="30"/>
          <w:highlight w:val="none"/>
          <w:lang w:val="en-US" w:eastAsia="zh-CN" w:bidi="ar-SA"/>
        </w:rPr>
        <w:t>规范</w:t>
      </w:r>
      <w:r>
        <w:rPr>
          <w:rFonts w:hint="default" w:ascii="Times New Roman" w:hAnsi="Times New Roman" w:eastAsia="仿宋_GB2312" w:cs="Times New Roman"/>
          <w:snapToGrid/>
          <w:color w:val="auto"/>
          <w:kern w:val="2"/>
          <w:sz w:val="30"/>
          <w:szCs w:val="30"/>
          <w:highlight w:val="none"/>
          <w:lang w:val="en-US" w:eastAsia="zh-CN" w:bidi="ar-SA"/>
        </w:rPr>
        <w:fldChar w:fldCharType="end"/>
      </w:r>
      <w:r>
        <w:rPr>
          <w:rFonts w:hint="default" w:ascii="Times New Roman" w:hAnsi="Times New Roman" w:eastAsia="仿宋_GB2312" w:cs="Times New Roman"/>
          <w:snapToGrid/>
          <w:color w:val="auto"/>
          <w:kern w:val="2"/>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优化健全</w:t>
      </w:r>
      <w:r>
        <w:rPr>
          <w:rFonts w:hint="default" w:ascii="Times New Roman" w:hAnsi="Times New Roman" w:eastAsia="仿宋_GB2312" w:cs="Times New Roman"/>
          <w:snapToGrid/>
          <w:color w:val="auto"/>
          <w:kern w:val="2"/>
          <w:sz w:val="30"/>
          <w:szCs w:val="30"/>
          <w:highlight w:val="none"/>
          <w:lang w:val="en-US" w:eastAsia="zh-CN" w:bidi="ar-SA"/>
        </w:rPr>
        <w:fldChar w:fldCharType="begin"/>
      </w:r>
      <w:r>
        <w:rPr>
          <w:rFonts w:hint="default" w:ascii="Times New Roman" w:hAnsi="Times New Roman" w:eastAsia="仿宋_GB2312" w:cs="Times New Roman"/>
          <w:snapToGrid/>
          <w:color w:val="auto"/>
          <w:kern w:val="2"/>
          <w:sz w:val="30"/>
          <w:szCs w:val="30"/>
          <w:highlight w:val="none"/>
          <w:lang w:val="en-US" w:eastAsia="zh-CN" w:bidi="ar-SA"/>
        </w:rPr>
        <w:instrText xml:space="preserve"> HYPERLINK "https://www.baidu.com/s?sa=re_dqa_generate&amp;wd=%E4%B8%AD%E5%A4%AE%E7%94%9F%E6%80%81%E7%8E%AF%E5%A2%83%E4%BF%9D%E6%8A%A4%E7%9D%A3%E5%AF%9F%E5%B7%A5%E4%BD%9C%E9%A2%86%E5%AF%BC%E5%B0%8F%E7%BB%84&amp;rsv_pq=970bc64e000b1377&amp;oq=%E8%90%BD%E5%AE%9E%E4%B8%AD%E5%A4%AE%E7%94%9F%E6%80%81%E7%8E%AF%E5%A2%83%E4%BF%9D%E6%8A%A4%E7%9D%A3%E5%AF%9F%E5%88%B6%E5%BA%A6%E7%9A%84%E6%8E%AA%E6%96%BD&amp;rsv_t=99d6izHygYpg3nfcD22kgaG6khRNMiE9fLeUPXHZ470HREUTL2/Cxf9mIVEXh9N4DlVIijxEyGeB&amp;tn=62095104_26_oem_dg&amp;ie=utf-8" \t "https://www.baidu.com/_blank" </w:instrText>
      </w:r>
      <w:r>
        <w:rPr>
          <w:rFonts w:hint="default" w:ascii="Times New Roman" w:hAnsi="Times New Roman" w:eastAsia="仿宋_GB2312" w:cs="Times New Roman"/>
          <w:snapToGrid/>
          <w:color w:val="auto"/>
          <w:kern w:val="2"/>
          <w:sz w:val="30"/>
          <w:szCs w:val="30"/>
          <w:highlight w:val="none"/>
          <w:lang w:val="en-US" w:eastAsia="zh-CN" w:bidi="ar-SA"/>
        </w:rPr>
        <w:fldChar w:fldCharType="separate"/>
      </w:r>
      <w:r>
        <w:rPr>
          <w:rFonts w:hint="default" w:ascii="Times New Roman" w:hAnsi="Times New Roman" w:eastAsia="仿宋_GB2312" w:cs="Times New Roman"/>
          <w:snapToGrid/>
          <w:color w:val="auto"/>
          <w:kern w:val="2"/>
          <w:sz w:val="30"/>
          <w:szCs w:val="30"/>
          <w:highlight w:val="none"/>
          <w:lang w:val="en-US" w:eastAsia="zh-CN" w:bidi="ar-SA"/>
        </w:rPr>
        <w:t>中央生态环境保护督察工作领导小组</w:t>
      </w:r>
      <w:r>
        <w:rPr>
          <w:rFonts w:hint="default" w:ascii="Times New Roman" w:hAnsi="Times New Roman" w:eastAsia="仿宋_GB2312" w:cs="Times New Roman"/>
          <w:snapToGrid/>
          <w:color w:val="auto"/>
          <w:kern w:val="2"/>
          <w:sz w:val="30"/>
          <w:szCs w:val="30"/>
          <w:highlight w:val="none"/>
          <w:lang w:val="en-US" w:eastAsia="zh-CN" w:bidi="ar-SA"/>
        </w:rPr>
        <w:fldChar w:fldCharType="end"/>
      </w:r>
      <w:r>
        <w:rPr>
          <w:rFonts w:hint="eastAsia" w:ascii="Times New Roman" w:hAnsi="Times New Roman" w:eastAsia="仿宋_GB2312" w:cs="Times New Roman"/>
          <w:snapToGrid/>
          <w:color w:val="auto"/>
          <w:kern w:val="2"/>
          <w:sz w:val="30"/>
          <w:szCs w:val="30"/>
          <w:highlight w:val="none"/>
          <w:lang w:val="en-US" w:eastAsia="zh-CN" w:bidi="ar-SA"/>
        </w:rPr>
        <w:t>及办公室</w:t>
      </w:r>
      <w:r>
        <w:rPr>
          <w:rFonts w:hint="default" w:ascii="Times New Roman" w:hAnsi="Times New Roman" w:eastAsia="仿宋_GB2312" w:cs="Times New Roman"/>
          <w:snapToGrid/>
          <w:color w:val="auto"/>
          <w:kern w:val="2"/>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进一步</w:t>
      </w:r>
      <w:r>
        <w:rPr>
          <w:rFonts w:hint="default" w:ascii="Times New Roman" w:hAnsi="Times New Roman" w:eastAsia="仿宋_GB2312" w:cs="Times New Roman"/>
          <w:snapToGrid/>
          <w:color w:val="auto"/>
          <w:kern w:val="2"/>
          <w:sz w:val="30"/>
          <w:szCs w:val="30"/>
          <w:highlight w:val="none"/>
          <w:lang w:val="en-US" w:eastAsia="zh-CN" w:bidi="ar-SA"/>
        </w:rPr>
        <w:t>组织协调推动中央</w:t>
      </w:r>
      <w:r>
        <w:rPr>
          <w:rFonts w:hint="eastAsia" w:ascii="Times New Roman" w:hAnsi="Times New Roman" w:eastAsia="仿宋_GB2312" w:cs="Times New Roman"/>
          <w:snapToGrid/>
          <w:color w:val="auto"/>
          <w:kern w:val="2"/>
          <w:sz w:val="30"/>
          <w:szCs w:val="30"/>
          <w:highlight w:val="none"/>
          <w:lang w:val="en-US" w:eastAsia="zh-CN" w:bidi="ar-SA"/>
        </w:rPr>
        <w:t>及各级</w:t>
      </w:r>
      <w:r>
        <w:rPr>
          <w:rFonts w:hint="default" w:ascii="Times New Roman" w:hAnsi="Times New Roman" w:eastAsia="仿宋_GB2312" w:cs="Times New Roman"/>
          <w:snapToGrid/>
          <w:color w:val="auto"/>
          <w:kern w:val="2"/>
          <w:sz w:val="30"/>
          <w:szCs w:val="30"/>
          <w:highlight w:val="none"/>
          <w:lang w:val="en-US" w:eastAsia="zh-CN" w:bidi="ar-SA"/>
        </w:rPr>
        <w:t>生态环境保护督察</w:t>
      </w:r>
      <w:r>
        <w:rPr>
          <w:rFonts w:hint="eastAsia" w:ascii="Times New Roman" w:hAnsi="Times New Roman" w:eastAsia="仿宋_GB2312" w:cs="Times New Roman"/>
          <w:snapToGrid/>
          <w:color w:val="auto"/>
          <w:kern w:val="2"/>
          <w:sz w:val="30"/>
          <w:szCs w:val="30"/>
          <w:highlight w:val="none"/>
          <w:lang w:val="en-US" w:eastAsia="zh-CN" w:bidi="ar-SA"/>
        </w:rPr>
        <w:t>整改</w:t>
      </w:r>
      <w:r>
        <w:rPr>
          <w:rFonts w:hint="default" w:ascii="Times New Roman" w:hAnsi="Times New Roman" w:eastAsia="仿宋_GB2312" w:cs="Times New Roman"/>
          <w:snapToGrid/>
          <w:color w:val="auto"/>
          <w:kern w:val="2"/>
          <w:sz w:val="30"/>
          <w:szCs w:val="30"/>
          <w:highlight w:val="none"/>
          <w:lang w:val="en-US" w:eastAsia="zh-CN" w:bidi="ar-SA"/>
        </w:rPr>
        <w:t>工作，确保督察工作的有效实施</w:t>
      </w:r>
      <w:r>
        <w:rPr>
          <w:rFonts w:hint="eastAsia" w:ascii="Times New Roman" w:hAnsi="Times New Roman" w:eastAsia="仿宋_GB2312" w:cs="Times New Roman"/>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明确</w:t>
      </w:r>
      <w:r>
        <w:rPr>
          <w:rFonts w:hint="eastAsia" w:ascii="Times New Roman" w:hAnsi="Times New Roman" w:eastAsia="仿宋_GB2312" w:cs="Times New Roman"/>
          <w:snapToGrid/>
          <w:color w:val="auto"/>
          <w:kern w:val="2"/>
          <w:sz w:val="30"/>
          <w:szCs w:val="30"/>
          <w:highlight w:val="none"/>
          <w:lang w:val="en-US" w:eastAsia="zh-CN" w:bidi="ar-SA"/>
        </w:rPr>
        <w:t>整改工作的</w:t>
      </w:r>
      <w:r>
        <w:rPr>
          <w:rFonts w:hint="default" w:ascii="Times New Roman" w:hAnsi="Times New Roman" w:eastAsia="仿宋_GB2312" w:cs="Times New Roman"/>
          <w:snapToGrid/>
          <w:color w:val="auto"/>
          <w:kern w:val="2"/>
          <w:sz w:val="30"/>
          <w:szCs w:val="30"/>
          <w:highlight w:val="none"/>
          <w:lang w:val="en-US" w:eastAsia="zh-CN" w:bidi="ar-SA"/>
        </w:rPr>
        <w:t>制度</w:t>
      </w:r>
      <w:r>
        <w:rPr>
          <w:rFonts w:hint="eastAsia" w:ascii="Times New Roman" w:hAnsi="Times New Roman" w:eastAsia="仿宋_GB2312" w:cs="Times New Roman"/>
          <w:snapToGrid/>
          <w:color w:val="auto"/>
          <w:kern w:val="2"/>
          <w:sz w:val="30"/>
          <w:szCs w:val="30"/>
          <w:highlight w:val="none"/>
          <w:lang w:val="en-US" w:eastAsia="zh-CN" w:bidi="ar-SA"/>
        </w:rPr>
        <w:t>规定</w:t>
      </w:r>
      <w:r>
        <w:rPr>
          <w:rFonts w:hint="default" w:ascii="Times New Roman" w:hAnsi="Times New Roman" w:eastAsia="仿宋_GB2312" w:cs="Times New Roman"/>
          <w:snapToGrid/>
          <w:color w:val="auto"/>
          <w:kern w:val="2"/>
          <w:sz w:val="30"/>
          <w:szCs w:val="30"/>
          <w:highlight w:val="none"/>
          <w:lang w:val="en-US" w:eastAsia="zh-CN" w:bidi="ar-SA"/>
        </w:rPr>
        <w:t>、程序规范、权限责任等，确保督察</w:t>
      </w:r>
      <w:r>
        <w:rPr>
          <w:rFonts w:hint="eastAsia" w:ascii="Times New Roman" w:hAnsi="Times New Roman" w:eastAsia="仿宋_GB2312" w:cs="Times New Roman"/>
          <w:snapToGrid/>
          <w:color w:val="auto"/>
          <w:kern w:val="2"/>
          <w:sz w:val="30"/>
          <w:szCs w:val="30"/>
          <w:highlight w:val="none"/>
          <w:lang w:val="en-US" w:eastAsia="zh-CN" w:bidi="ar-SA"/>
        </w:rPr>
        <w:t>整改</w:t>
      </w:r>
      <w:r>
        <w:rPr>
          <w:rFonts w:hint="default" w:ascii="Times New Roman" w:hAnsi="Times New Roman" w:eastAsia="仿宋_GB2312" w:cs="Times New Roman"/>
          <w:snapToGrid/>
          <w:color w:val="auto"/>
          <w:kern w:val="2"/>
          <w:sz w:val="30"/>
          <w:szCs w:val="30"/>
          <w:highlight w:val="none"/>
          <w:lang w:val="en-US" w:eastAsia="zh-CN" w:bidi="ar-SA"/>
        </w:rPr>
        <w:t>工作的规范化和制度化。</w:t>
      </w:r>
    </w:p>
    <w:p w14:paraId="054A40A9">
      <w:pPr>
        <w:pStyle w:val="11"/>
        <w:pageBreakBefore w:val="0"/>
        <w:widowControl w:val="0"/>
        <w:kinsoku/>
        <w:wordWrap/>
        <w:overflowPunct/>
        <w:topLinePunct w:val="0"/>
        <w:autoSpaceDE/>
        <w:autoSpaceDN/>
        <w:bidi w:val="0"/>
        <w:adjustRightInd/>
        <w:snapToGrid w:val="0"/>
        <w:spacing w:line="360" w:lineRule="auto"/>
        <w:ind w:left="0" w:leftChars="0" w:firstLine="602" w:firstLineChars="200"/>
        <w:jc w:val="both"/>
        <w:textAlignment w:val="auto"/>
        <w:rPr>
          <w:rFonts w:hint="default" w:ascii="Times New Roman" w:hAnsi="Times New Roman" w:eastAsia="仿宋_GB2312" w:cs="Times New Roman"/>
          <w:snapToGrid/>
          <w:color w:val="auto"/>
          <w:kern w:val="2"/>
          <w:sz w:val="30"/>
          <w:szCs w:val="30"/>
          <w:highlight w:val="none"/>
          <w:lang w:val="en-US" w:eastAsia="zh-CN" w:bidi="ar-SA"/>
        </w:rPr>
      </w:pPr>
      <w:r>
        <w:rPr>
          <w:rFonts w:hint="default" w:ascii="Times New Roman" w:hAnsi="Times New Roman" w:eastAsia="仿宋_GB2312" w:cs="Times New Roman"/>
          <w:b/>
          <w:bCs/>
          <w:snapToGrid/>
          <w:color w:val="auto"/>
          <w:kern w:val="2"/>
          <w:sz w:val="30"/>
          <w:szCs w:val="30"/>
          <w:highlight w:val="none"/>
          <w:lang w:val="en-US" w:eastAsia="zh-CN" w:bidi="ar-SA"/>
        </w:rPr>
        <w:t>‌建立督察整改工作长效机制</w:t>
      </w:r>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‌坚持问题导向‌，重点盯住中央高度关注、群众反映强烈、社会影响恶劣的突出环境问题及其处理情况，以及环境质量呈现恶化趋势的区域流域及整治情况</w:t>
      </w:r>
      <w:r>
        <w:rPr>
          <w:rFonts w:hint="eastAsia" w:ascii="Times New Roman" w:hAnsi="Times New Roman" w:eastAsia="仿宋_GB2312" w:cs="Times New Roman"/>
          <w:snapToGrid/>
          <w:color w:val="auto"/>
          <w:kern w:val="2"/>
          <w:sz w:val="30"/>
          <w:szCs w:val="30"/>
          <w:highlight w:val="none"/>
          <w:lang w:val="en-US" w:eastAsia="zh-CN" w:bidi="ar-SA"/>
        </w:rPr>
        <w:t>，</w:t>
      </w:r>
      <w:r>
        <w:rPr>
          <w:rFonts w:hint="default" w:ascii="Times New Roman" w:hAnsi="Times New Roman" w:eastAsia="仿宋_GB2312" w:cs="Times New Roman"/>
          <w:snapToGrid/>
          <w:color w:val="auto"/>
          <w:kern w:val="2"/>
          <w:sz w:val="30"/>
          <w:szCs w:val="30"/>
          <w:highlight w:val="none"/>
          <w:lang w:val="en-US" w:eastAsia="zh-CN" w:bidi="ar-SA"/>
        </w:rPr>
        <w:t>‌强化政治监督‌，确保党中央</w:t>
      </w:r>
      <w:r>
        <w:rPr>
          <w:rFonts w:hint="eastAsia" w:ascii="Times New Roman" w:hAnsi="Times New Roman" w:eastAsia="仿宋_GB2312" w:cs="Times New Roman"/>
          <w:snapToGrid/>
          <w:color w:val="auto"/>
          <w:kern w:val="2"/>
          <w:sz w:val="30"/>
          <w:szCs w:val="30"/>
          <w:highlight w:val="none"/>
          <w:lang w:val="en-US" w:eastAsia="zh-CN" w:bidi="ar-SA"/>
        </w:rPr>
        <w:t>及各级</w:t>
      </w:r>
      <w:r>
        <w:rPr>
          <w:rFonts w:hint="default" w:ascii="Times New Roman" w:hAnsi="Times New Roman" w:eastAsia="仿宋_GB2312" w:cs="Times New Roman"/>
          <w:snapToGrid/>
          <w:color w:val="auto"/>
          <w:kern w:val="2"/>
          <w:sz w:val="30"/>
          <w:szCs w:val="30"/>
          <w:highlight w:val="none"/>
          <w:lang w:val="en-US" w:eastAsia="zh-CN" w:bidi="ar-SA"/>
        </w:rPr>
        <w:t>生态环境保护决策部署落到实处。</w:t>
      </w:r>
    </w:p>
    <w:p w14:paraId="4F24802B">
      <w:pPr>
        <w:pStyle w:val="3"/>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58" w:name="_Toc29901"/>
      <w:bookmarkStart w:id="59" w:name="_Toc6149"/>
      <w:r>
        <w:rPr>
          <w:rFonts w:hint="eastAsia" w:ascii="方正楷体_GB2312" w:hAnsi="方正楷体_GB2312" w:eastAsia="方正楷体_GB2312" w:cs="方正楷体_GB2312"/>
          <w:b/>
          <w:bCs/>
          <w:snapToGrid/>
          <w:kern w:val="2"/>
          <w:szCs w:val="24"/>
          <w:highlight w:val="none"/>
          <w:lang w:eastAsia="zh-CN"/>
        </w:rPr>
        <w:t>（二）生态安全体系建设</w:t>
      </w:r>
      <w:bookmarkEnd w:id="58"/>
      <w:bookmarkEnd w:id="59"/>
    </w:p>
    <w:p w14:paraId="6D62CFC4">
      <w:pPr>
        <w:pStyle w:val="4"/>
        <w:keepNext w:val="0"/>
        <w:keepLines w:val="0"/>
        <w:pageBreakBefore w:val="0"/>
        <w:widowControl w:val="0"/>
        <w:numPr>
          <w:ilvl w:val="0"/>
          <w:numId w:val="8"/>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60" w:name="_Toc19628"/>
      <w:bookmarkStart w:id="61" w:name="_Toc20664"/>
      <w:r>
        <w:rPr>
          <w:rFonts w:hint="eastAsia" w:ascii="仿宋_GB2312" w:hAnsi="仿宋_GB2312" w:eastAsia="仿宋_GB2312" w:cs="仿宋_GB2312"/>
          <w:snapToGrid/>
          <w:kern w:val="2"/>
          <w:sz w:val="30"/>
          <w:szCs w:val="30"/>
          <w:highlight w:val="none"/>
          <w:lang w:val="en-US" w:eastAsia="zh-CN"/>
        </w:rPr>
        <w:t>优化国土空间开发保护格局</w:t>
      </w:r>
      <w:bookmarkEnd w:id="60"/>
      <w:bookmarkEnd w:id="61"/>
    </w:p>
    <w:p w14:paraId="31D7BA66">
      <w:pPr>
        <w:spacing w:line="360" w:lineRule="auto"/>
        <w:ind w:firstLine="500" w:firstLineChars="0"/>
        <w:jc w:val="both"/>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构建生态环境分区管控体系。</w:t>
      </w:r>
      <w:r>
        <w:rPr>
          <w:rFonts w:hint="eastAsia" w:ascii="Times New Roman" w:hAnsi="Times New Roman" w:eastAsia="仿宋_GB2312" w:cs="Times New Roman"/>
          <w:snapToGrid/>
          <w:color w:val="auto"/>
          <w:kern w:val="2"/>
          <w:sz w:val="30"/>
          <w:szCs w:val="30"/>
          <w:highlight w:val="none"/>
          <w:lang w:val="en-US" w:eastAsia="zh-CN" w:bidi="ar-SA"/>
        </w:rPr>
        <w:t>落实黑龙江省</w:t>
      </w:r>
      <w:r>
        <w:rPr>
          <w:rFonts w:hint="default" w:ascii="Times New Roman" w:hAnsi="Times New Roman" w:eastAsia="仿宋_GB2312" w:cs="Times New Roman"/>
          <w:snapToGrid/>
          <w:color w:val="auto"/>
          <w:kern w:val="2"/>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三山四水多点</w:t>
      </w:r>
      <w:r>
        <w:rPr>
          <w:rFonts w:hint="default" w:ascii="Times New Roman" w:hAnsi="Times New Roman" w:eastAsia="仿宋_GB2312" w:cs="Times New Roman"/>
          <w:snapToGrid/>
          <w:color w:val="auto"/>
          <w:kern w:val="2"/>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生态格局要求，筑牢张广才岭生态屏障，强化拉林河、牤牛河等主要水系生态廊道连通性，维持生态系统功能稳定，提升全域生态系统服务能力，构建</w:t>
      </w:r>
      <w:r>
        <w:rPr>
          <w:rFonts w:hint="default" w:ascii="Times New Roman" w:hAnsi="Times New Roman" w:eastAsia="仿宋_GB2312" w:cs="Times New Roman"/>
          <w:snapToGrid/>
          <w:color w:val="auto"/>
          <w:kern w:val="2"/>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一屏、两心、两廊、五点</w:t>
      </w:r>
      <w:r>
        <w:rPr>
          <w:rFonts w:hint="default" w:ascii="Times New Roman" w:hAnsi="Times New Roman" w:eastAsia="仿宋_GB2312" w:cs="Times New Roman"/>
          <w:snapToGrid/>
          <w:color w:val="auto"/>
          <w:kern w:val="2"/>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的生态空间保护格局。“一屏”：张广才岭生态屏障。“两心”：磨盘山水源保护地和龙凤山水库水源保护核心。“两廊”：拉林河、牤牛河流域生态带。“五点”：黑龙江龙凤国家森林公园、黑龙江八里湾国家森林公园、黑龙江凤凰山国家森林公园、黑龙江哈尔滨龙凤湖省级自然保护区、黑龙江大峡谷国家级自然保护区。整合优化自然保护地，严格保护五常市</w:t>
      </w:r>
      <w:r>
        <w:rPr>
          <w:rFonts w:hint="default" w:ascii="Times New Roman" w:hAnsi="Times New Roman" w:eastAsia="仿宋_GB2312" w:cs="Times New Roman"/>
          <w:snapToGrid/>
          <w:color w:val="auto"/>
          <w:kern w:val="2"/>
          <w:sz w:val="30"/>
          <w:szCs w:val="30"/>
          <w:highlight w:val="none"/>
          <w:lang w:val="en-US" w:eastAsia="zh-CN" w:bidi="ar-SA"/>
        </w:rPr>
        <w:t>1</w:t>
      </w:r>
      <w:r>
        <w:rPr>
          <w:rFonts w:hint="eastAsia" w:ascii="Times New Roman" w:hAnsi="Times New Roman" w:eastAsia="仿宋_GB2312" w:cs="Times New Roman"/>
          <w:snapToGrid/>
          <w:color w:val="auto"/>
          <w:kern w:val="2"/>
          <w:sz w:val="30"/>
          <w:szCs w:val="30"/>
          <w:highlight w:val="none"/>
          <w:lang w:val="en-US" w:eastAsia="zh-CN" w:bidi="ar-SA"/>
        </w:rPr>
        <w:t>个国家级自然保护区和</w:t>
      </w:r>
      <w:r>
        <w:rPr>
          <w:rFonts w:hint="default" w:ascii="Times New Roman" w:hAnsi="Times New Roman" w:eastAsia="仿宋_GB2312" w:cs="Times New Roman"/>
          <w:snapToGrid/>
          <w:color w:val="auto"/>
          <w:kern w:val="2"/>
          <w:sz w:val="30"/>
          <w:szCs w:val="30"/>
          <w:highlight w:val="none"/>
          <w:lang w:val="en-US" w:eastAsia="zh-CN" w:bidi="ar-SA"/>
        </w:rPr>
        <w:t>1</w:t>
      </w:r>
      <w:r>
        <w:rPr>
          <w:rFonts w:hint="eastAsia" w:ascii="Times New Roman" w:hAnsi="Times New Roman" w:eastAsia="仿宋_GB2312" w:cs="Times New Roman"/>
          <w:snapToGrid/>
          <w:color w:val="auto"/>
          <w:kern w:val="2"/>
          <w:sz w:val="30"/>
          <w:szCs w:val="30"/>
          <w:highlight w:val="none"/>
          <w:lang w:val="en-US" w:eastAsia="zh-CN" w:bidi="ar-SA"/>
        </w:rPr>
        <w:t>个省级自然保护区、</w:t>
      </w:r>
      <w:r>
        <w:rPr>
          <w:rFonts w:hint="default" w:ascii="Times New Roman" w:hAnsi="Times New Roman" w:eastAsia="仿宋_GB2312" w:cs="Times New Roman"/>
          <w:snapToGrid/>
          <w:color w:val="auto"/>
          <w:kern w:val="2"/>
          <w:sz w:val="30"/>
          <w:szCs w:val="30"/>
          <w:highlight w:val="none"/>
          <w:lang w:val="en-US" w:eastAsia="zh-CN" w:bidi="ar-SA"/>
        </w:rPr>
        <w:t>3</w:t>
      </w:r>
      <w:r>
        <w:rPr>
          <w:rFonts w:hint="eastAsia" w:ascii="Times New Roman" w:hAnsi="Times New Roman" w:eastAsia="仿宋_GB2312" w:cs="Times New Roman"/>
          <w:snapToGrid/>
          <w:color w:val="auto"/>
          <w:kern w:val="2"/>
          <w:sz w:val="30"/>
          <w:szCs w:val="30"/>
          <w:highlight w:val="none"/>
          <w:lang w:val="en-US" w:eastAsia="zh-CN" w:bidi="ar-SA"/>
        </w:rPr>
        <w:t>个国家级自然公园，</w:t>
      </w:r>
      <w:r>
        <w:rPr>
          <w:rFonts w:hint="eastAsia" w:ascii="Times New Roman" w:hAnsi="Times New Roman" w:eastAsia="仿宋_GB2312" w:cs="Times New Roman"/>
          <w:b w:val="0"/>
          <w:bCs w:val="0"/>
          <w:snapToGrid/>
          <w:color w:val="auto"/>
          <w:kern w:val="2"/>
          <w:sz w:val="30"/>
          <w:szCs w:val="30"/>
          <w:highlight w:val="none"/>
          <w:lang w:val="en-US" w:eastAsia="zh-CN" w:bidi="ar-SA"/>
        </w:rPr>
        <w:t>构建绿色生态空间格局。积极推进“三线一单”成果应用于政策制定、环境准入、园区管理、执法监管等方面。严格规划环评审查和项目环评准入，强化规划环评与项目环评联动，充分发挥规划环评对项目环评的约束和指导作用。</w:t>
      </w:r>
      <w:r>
        <w:rPr>
          <w:rFonts w:hint="eastAsia" w:ascii="Times New Roman" w:hAnsi="Times New Roman" w:eastAsia="仿宋_GB2312" w:cs="Times New Roman"/>
          <w:snapToGrid/>
          <w:color w:val="auto"/>
          <w:kern w:val="2"/>
          <w:sz w:val="30"/>
          <w:szCs w:val="30"/>
          <w:highlight w:val="none"/>
          <w:lang w:val="en-US" w:eastAsia="en-US" w:bidi="ar-SA"/>
        </w:rPr>
        <w:t>到2025年，合理规划生态、农业、城镇空间，明确各类空间功能定位，健全</w:t>
      </w:r>
      <w:r>
        <w:rPr>
          <w:rFonts w:hint="eastAsia" w:ascii="Times New Roman" w:hAnsi="Times New Roman" w:eastAsia="仿宋_GB2312" w:cs="Times New Roman"/>
          <w:snapToGrid/>
          <w:color w:val="auto"/>
          <w:kern w:val="2"/>
          <w:sz w:val="30"/>
          <w:szCs w:val="30"/>
          <w:highlight w:val="none"/>
          <w:lang w:val="en-US" w:eastAsia="zh-CN" w:bidi="ar-SA"/>
        </w:rPr>
        <w:t>生态环境</w:t>
      </w:r>
      <w:r>
        <w:rPr>
          <w:rFonts w:hint="eastAsia" w:ascii="Times New Roman" w:hAnsi="Times New Roman" w:eastAsia="仿宋_GB2312" w:cs="Times New Roman"/>
          <w:snapToGrid/>
          <w:color w:val="auto"/>
          <w:kern w:val="2"/>
          <w:sz w:val="30"/>
          <w:szCs w:val="30"/>
          <w:highlight w:val="none"/>
          <w:lang w:val="en-US" w:eastAsia="en-US" w:bidi="ar-SA"/>
        </w:rPr>
        <w:t>分区管控体系</w:t>
      </w:r>
      <w:r>
        <w:rPr>
          <w:rFonts w:hint="eastAsia" w:ascii="Times New Roman" w:hAnsi="Times New Roman" w:eastAsia="仿宋_GB2312" w:cs="Times New Roman"/>
          <w:snapToGrid/>
          <w:color w:val="auto"/>
          <w:kern w:val="2"/>
          <w:sz w:val="30"/>
          <w:szCs w:val="30"/>
          <w:highlight w:val="none"/>
          <w:lang w:val="en-US" w:eastAsia="zh-CN" w:bidi="ar-SA"/>
        </w:rPr>
        <w:t>。</w:t>
      </w:r>
    </w:p>
    <w:p w14:paraId="67ACCA0C">
      <w:pPr>
        <w:keepNext w:val="0"/>
        <w:keepLines w:val="0"/>
        <w:pageBreakBefore w:val="0"/>
        <w:widowControl/>
        <w:kinsoku w:val="0"/>
        <w:wordWrap/>
        <w:overflowPunct/>
        <w:topLinePunct w:val="0"/>
        <w:autoSpaceDE w:val="0"/>
        <w:autoSpaceDN w:val="0"/>
        <w:bidi w:val="0"/>
        <w:adjustRightInd w:val="0"/>
        <w:snapToGrid w:val="0"/>
        <w:spacing w:line="360" w:lineRule="auto"/>
        <w:ind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en-US" w:bidi="ar-SA"/>
        </w:rPr>
      </w:pPr>
      <w:r>
        <w:rPr>
          <w:rFonts w:hint="eastAsia" w:ascii="Times New Roman" w:hAnsi="Times New Roman" w:eastAsia="仿宋_GB2312" w:cs="Times New Roman"/>
          <w:b/>
          <w:bCs/>
          <w:snapToGrid/>
          <w:color w:val="auto"/>
          <w:kern w:val="2"/>
          <w:sz w:val="30"/>
          <w:szCs w:val="30"/>
          <w:highlight w:val="none"/>
          <w:lang w:val="en-US" w:eastAsia="zh-CN" w:bidi="ar-SA"/>
        </w:rPr>
        <w:t>坚决守住生态保护红线。</w:t>
      </w:r>
      <w:r>
        <w:rPr>
          <w:rFonts w:hint="eastAsia" w:ascii="Times New Roman" w:hAnsi="Times New Roman" w:eastAsia="仿宋_GB2312" w:cs="Times New Roman"/>
          <w:snapToGrid/>
          <w:color w:val="auto"/>
          <w:kern w:val="2"/>
          <w:sz w:val="30"/>
          <w:szCs w:val="30"/>
          <w:highlight w:val="none"/>
          <w:lang w:val="en-US" w:eastAsia="zh-CN" w:bidi="ar-SA"/>
        </w:rPr>
        <w:t>科学合理划定生态保护红线，将整合后的自然保护地，生态功能极重要区、生态极脆弱区域、具有潜在重要生态价值的生态空间划入生态保护红线。生态保护红线原则上按禁止开发区的要求进行管理，严禁不符合主体功能定位的各类开发活动，严禁任意改变用途，严格保护各类生态用地，恢复保留生态空间。在符合法律法规的前提下，仅允许国家加强生态保护红线管理规定明确的10类对生态功能不造成破坏的有限人为活动。生态保护红线内自然保护区、风景名胜区、饮用水水源保护区等区域，依照法律法规执行。</w:t>
      </w:r>
      <w:r>
        <w:rPr>
          <w:rFonts w:hint="eastAsia" w:ascii="Times New Roman" w:hAnsi="Times New Roman" w:eastAsia="仿宋_GB2312" w:cs="Times New Roman"/>
          <w:b w:val="0"/>
          <w:bCs w:val="0"/>
          <w:snapToGrid/>
          <w:color w:val="auto"/>
          <w:kern w:val="2"/>
          <w:sz w:val="30"/>
          <w:szCs w:val="30"/>
          <w:highlight w:val="none"/>
          <w:lang w:val="en-US" w:eastAsia="zh-CN" w:bidi="ar-SA"/>
        </w:rPr>
        <w:t>完成全市自然保护地整合优化预案编制，建立五常市自然保护地体系。推进全市自然保护区范围界限核准和勘界立标，加强自然保护地建设管理。</w:t>
      </w:r>
      <w:r>
        <w:rPr>
          <w:rFonts w:hint="eastAsia" w:ascii="Times New Roman" w:hAnsi="Times New Roman" w:eastAsia="仿宋_GB2312" w:cs="Times New Roman"/>
          <w:snapToGrid/>
          <w:color w:val="auto"/>
          <w:kern w:val="2"/>
          <w:sz w:val="30"/>
          <w:szCs w:val="30"/>
          <w:highlight w:val="none"/>
          <w:lang w:val="en-US" w:eastAsia="en-US" w:bidi="ar-SA"/>
        </w:rPr>
        <w:t>到2025年，</w:t>
      </w:r>
      <w:r>
        <w:rPr>
          <w:rFonts w:hint="eastAsia" w:ascii="Times New Roman" w:hAnsi="Times New Roman" w:eastAsia="仿宋_GB2312" w:cs="Times New Roman"/>
          <w:snapToGrid/>
          <w:color w:val="auto"/>
          <w:kern w:val="2"/>
          <w:sz w:val="30"/>
          <w:szCs w:val="30"/>
          <w:highlight w:val="none"/>
          <w:lang w:val="en-US" w:eastAsia="zh-CN" w:bidi="ar-SA"/>
        </w:rPr>
        <w:t>确保生态红线面积不低于230423.56公顷，占全域总面积的</w:t>
      </w:r>
      <w:r>
        <w:rPr>
          <w:rFonts w:hint="default" w:ascii="Times New Roman" w:hAnsi="Times New Roman" w:eastAsia="仿宋_GB2312" w:cs="Times New Roman"/>
          <w:snapToGrid/>
          <w:color w:val="auto"/>
          <w:kern w:val="2"/>
          <w:sz w:val="30"/>
          <w:szCs w:val="30"/>
          <w:highlight w:val="none"/>
          <w:lang w:val="en-US" w:eastAsia="zh-CN" w:bidi="ar-SA"/>
        </w:rPr>
        <w:t>30.73%</w:t>
      </w:r>
      <w:r>
        <w:rPr>
          <w:rFonts w:hint="eastAsia" w:ascii="Times New Roman" w:hAnsi="Times New Roman" w:eastAsia="仿宋_GB2312" w:cs="Times New Roman"/>
          <w:snapToGrid/>
          <w:color w:val="auto"/>
          <w:kern w:val="2"/>
          <w:sz w:val="30"/>
          <w:szCs w:val="30"/>
          <w:highlight w:val="none"/>
          <w:lang w:val="en-US" w:eastAsia="zh-CN" w:bidi="ar-SA"/>
        </w:rPr>
        <w:t>，自然保护地面积不低于</w:t>
      </w:r>
      <w:r>
        <w:rPr>
          <w:rFonts w:hint="default" w:ascii="Times New Roman" w:hAnsi="Times New Roman" w:eastAsia="仿宋_GB2312" w:cs="Times New Roman"/>
          <w:snapToGrid/>
          <w:color w:val="auto"/>
          <w:kern w:val="2"/>
          <w:sz w:val="30"/>
          <w:szCs w:val="30"/>
          <w:highlight w:val="none"/>
          <w:lang w:val="en-US" w:eastAsia="zh-CN" w:bidi="ar-SA"/>
        </w:rPr>
        <w:t>97065.60</w:t>
      </w:r>
      <w:r>
        <w:rPr>
          <w:rFonts w:hint="eastAsia" w:ascii="Times New Roman" w:hAnsi="Times New Roman" w:eastAsia="仿宋_GB2312" w:cs="Times New Roman"/>
          <w:snapToGrid/>
          <w:color w:val="auto"/>
          <w:kern w:val="2"/>
          <w:sz w:val="30"/>
          <w:szCs w:val="30"/>
          <w:highlight w:val="none"/>
          <w:lang w:val="en-US" w:eastAsia="zh-CN" w:bidi="ar-SA"/>
        </w:rPr>
        <w:t>公顷，占全域总面积的</w:t>
      </w:r>
      <w:r>
        <w:rPr>
          <w:rFonts w:hint="default" w:ascii="Times New Roman" w:hAnsi="Times New Roman" w:eastAsia="仿宋_GB2312" w:cs="Times New Roman"/>
          <w:snapToGrid/>
          <w:color w:val="auto"/>
          <w:kern w:val="2"/>
          <w:sz w:val="30"/>
          <w:szCs w:val="30"/>
          <w:highlight w:val="none"/>
          <w:lang w:val="en-US" w:eastAsia="zh-CN" w:bidi="ar-SA"/>
        </w:rPr>
        <w:t>12.94%</w:t>
      </w:r>
      <w:r>
        <w:rPr>
          <w:rFonts w:hint="eastAsia" w:ascii="Times New Roman" w:hAnsi="Times New Roman" w:eastAsia="仿宋_GB2312" w:cs="Times New Roman"/>
          <w:snapToGrid/>
          <w:color w:val="auto"/>
          <w:kern w:val="2"/>
          <w:sz w:val="30"/>
          <w:szCs w:val="30"/>
          <w:highlight w:val="none"/>
          <w:lang w:val="en-US" w:eastAsia="zh-CN" w:bidi="ar-SA"/>
        </w:rPr>
        <w:t>。</w:t>
      </w:r>
    </w:p>
    <w:p w14:paraId="62BE87B4">
      <w:pPr>
        <w:spacing w:line="360" w:lineRule="auto"/>
        <w:ind w:firstLine="602" w:firstLineChars="200"/>
        <w:jc w:val="both"/>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加强耕地与永久基本农田保护。</w:t>
      </w:r>
      <w:r>
        <w:rPr>
          <w:rFonts w:hint="eastAsia" w:ascii="Times New Roman" w:hAnsi="Times New Roman" w:eastAsia="仿宋_GB2312" w:cs="Times New Roman"/>
          <w:snapToGrid/>
          <w:color w:val="auto"/>
          <w:kern w:val="2"/>
          <w:sz w:val="30"/>
          <w:szCs w:val="30"/>
          <w:highlight w:val="none"/>
          <w:lang w:val="en-US" w:eastAsia="zh-CN" w:bidi="ar-SA"/>
        </w:rPr>
        <w:t>规划永久基本农田保护数量不减少、质量不降低、布局基本稳定。永久基本农田实现全域范围内占补平衡。严守耕地保护红线，严格控制耕地转为林地、草地、园地等其他农用地，并建立耕地保护补偿制度。对耕地转为其他农用地及农业设施建设用地实行年度进出平衡。</w:t>
      </w:r>
      <w:r>
        <w:rPr>
          <w:rFonts w:hint="eastAsia" w:ascii="Times New Roman" w:hAnsi="Times New Roman" w:eastAsia="仿宋_GB2312" w:cs="Times New Roman"/>
          <w:snapToGrid/>
          <w:color w:val="auto"/>
          <w:kern w:val="2"/>
          <w:sz w:val="30"/>
          <w:szCs w:val="30"/>
          <w:highlight w:val="none"/>
          <w:lang w:val="en-US" w:eastAsia="en-US" w:bidi="ar-SA"/>
        </w:rPr>
        <w:t>到2025年，</w:t>
      </w:r>
      <w:r>
        <w:rPr>
          <w:rFonts w:hint="eastAsia" w:ascii="Times New Roman" w:hAnsi="Times New Roman" w:eastAsia="仿宋_GB2312" w:cs="Times New Roman"/>
          <w:snapToGrid/>
          <w:color w:val="auto"/>
          <w:kern w:val="2"/>
          <w:sz w:val="30"/>
          <w:szCs w:val="30"/>
          <w:highlight w:val="none"/>
          <w:lang w:val="en-US" w:eastAsia="zh-CN" w:bidi="ar-SA"/>
        </w:rPr>
        <w:t>确保不低于哈尔滨市下达任务，即耕地保有量不低于500.51万亩，占全域面积的44.50%；永久基本农田保护面积不低于385.68万亩，占全域面积的34.29%。</w:t>
      </w:r>
    </w:p>
    <w:p w14:paraId="0E7AC035">
      <w:pPr>
        <w:keepNext w:val="0"/>
        <w:keepLines w:val="0"/>
        <w:pageBreakBefore w:val="0"/>
        <w:widowControl/>
        <w:kinsoku w:val="0"/>
        <w:wordWrap/>
        <w:overflowPunct/>
        <w:topLinePunct w:val="0"/>
        <w:autoSpaceDE w:val="0"/>
        <w:autoSpaceDN w:val="0"/>
        <w:bidi w:val="0"/>
        <w:adjustRightInd w:val="0"/>
        <w:snapToGrid w:val="0"/>
        <w:spacing w:line="360" w:lineRule="auto"/>
        <w:ind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en-US" w:bidi="ar-SA"/>
        </w:rPr>
      </w:pPr>
      <w:r>
        <w:rPr>
          <w:rFonts w:hint="eastAsia" w:ascii="Times New Roman" w:hAnsi="Times New Roman" w:eastAsia="仿宋_GB2312" w:cs="Times New Roman"/>
          <w:b/>
          <w:bCs/>
          <w:snapToGrid/>
          <w:color w:val="auto"/>
          <w:kern w:val="2"/>
          <w:sz w:val="30"/>
          <w:szCs w:val="30"/>
          <w:highlight w:val="none"/>
          <w:lang w:val="en-US" w:eastAsia="zh-CN" w:bidi="ar-SA"/>
        </w:rPr>
        <w:t>合理划定城镇开发边界。</w:t>
      </w:r>
      <w:r>
        <w:rPr>
          <w:rFonts w:hint="eastAsia" w:ascii="Times New Roman" w:hAnsi="Times New Roman" w:eastAsia="仿宋_GB2312" w:cs="Times New Roman"/>
          <w:snapToGrid/>
          <w:color w:val="auto"/>
          <w:kern w:val="2"/>
          <w:sz w:val="30"/>
          <w:szCs w:val="30"/>
          <w:highlight w:val="none"/>
          <w:lang w:val="en-US" w:eastAsia="zh-CN" w:bidi="ar-SA"/>
        </w:rPr>
        <w:t>在优先划定五常市耕地和永久基本农田、生态保护红线的基础上，避让自然灾害高风险区域，结合资源承载能力、人口分布、经济布局、城乡统筹、城镇发展阶段和发展潜力，合理划定城镇开发边界，管控城镇建设用地总量，引导形成集约紧凑的城镇空间格局。强化城镇开发边界对开发建设行为的刚性约束作用，实行建设用地总量与强度双控，框定总量，限定容量，防止城镇盲目扩张和无序蔓延。在城镇开发边界内实施战略留白，为长远发展谋划预留战略空间。充分发挥农业、生态等资源的景观价值和文化价值，引导城镇空间合理布局。到</w:t>
      </w:r>
      <w:r>
        <w:rPr>
          <w:rFonts w:hint="default" w:ascii="Times New Roman" w:hAnsi="Times New Roman" w:eastAsia="仿宋_GB2312" w:cs="Times New Roman"/>
          <w:snapToGrid/>
          <w:color w:val="auto"/>
          <w:kern w:val="2"/>
          <w:sz w:val="30"/>
          <w:szCs w:val="30"/>
          <w:highlight w:val="none"/>
          <w:lang w:val="en-US" w:eastAsia="zh-CN" w:bidi="ar-SA"/>
        </w:rPr>
        <w:t>20</w:t>
      </w:r>
      <w:r>
        <w:rPr>
          <w:rFonts w:hint="eastAsia" w:ascii="Times New Roman" w:hAnsi="Times New Roman" w:eastAsia="仿宋_GB2312" w:cs="Times New Roman"/>
          <w:snapToGrid/>
          <w:color w:val="auto"/>
          <w:kern w:val="2"/>
          <w:sz w:val="30"/>
          <w:szCs w:val="30"/>
          <w:highlight w:val="none"/>
          <w:lang w:val="en-US" w:eastAsia="zh-CN" w:bidi="ar-SA"/>
        </w:rPr>
        <w:t>2</w:t>
      </w:r>
      <w:r>
        <w:rPr>
          <w:rFonts w:hint="default" w:ascii="Times New Roman" w:hAnsi="Times New Roman" w:eastAsia="仿宋_GB2312" w:cs="Times New Roman"/>
          <w:snapToGrid/>
          <w:color w:val="auto"/>
          <w:kern w:val="2"/>
          <w:sz w:val="30"/>
          <w:szCs w:val="30"/>
          <w:highlight w:val="none"/>
          <w:lang w:val="en-US" w:eastAsia="zh-CN" w:bidi="ar-SA"/>
        </w:rPr>
        <w:t>5</w:t>
      </w:r>
      <w:r>
        <w:rPr>
          <w:rFonts w:hint="eastAsia" w:ascii="Times New Roman" w:hAnsi="Times New Roman" w:eastAsia="仿宋_GB2312" w:cs="Times New Roman"/>
          <w:snapToGrid/>
          <w:color w:val="auto"/>
          <w:kern w:val="2"/>
          <w:sz w:val="30"/>
          <w:szCs w:val="30"/>
          <w:highlight w:val="none"/>
          <w:lang w:val="en-US" w:eastAsia="zh-CN" w:bidi="ar-SA"/>
        </w:rPr>
        <w:t>年，确保五常市划定城镇开发边界面积</w:t>
      </w:r>
      <w:r>
        <w:rPr>
          <w:rFonts w:hint="default" w:ascii="Times New Roman" w:hAnsi="Times New Roman" w:eastAsia="仿宋_GB2312" w:cs="Times New Roman"/>
          <w:snapToGrid/>
          <w:color w:val="auto"/>
          <w:kern w:val="2"/>
          <w:sz w:val="30"/>
          <w:szCs w:val="30"/>
          <w:highlight w:val="none"/>
          <w:lang w:val="en-US" w:eastAsia="zh-CN" w:bidi="ar-SA"/>
        </w:rPr>
        <w:t>5102.16</w:t>
      </w:r>
      <w:r>
        <w:rPr>
          <w:rFonts w:hint="eastAsia" w:ascii="Times New Roman" w:hAnsi="Times New Roman" w:eastAsia="仿宋_GB2312" w:cs="Times New Roman"/>
          <w:snapToGrid/>
          <w:color w:val="auto"/>
          <w:kern w:val="2"/>
          <w:sz w:val="30"/>
          <w:szCs w:val="30"/>
          <w:highlight w:val="none"/>
          <w:lang w:val="en-US" w:eastAsia="zh-CN" w:bidi="ar-SA"/>
        </w:rPr>
        <w:t>公顷，占全域总面积的</w:t>
      </w:r>
      <w:r>
        <w:rPr>
          <w:rFonts w:hint="default" w:ascii="Times New Roman" w:hAnsi="Times New Roman" w:eastAsia="仿宋_GB2312" w:cs="Times New Roman"/>
          <w:snapToGrid/>
          <w:color w:val="auto"/>
          <w:kern w:val="2"/>
          <w:sz w:val="30"/>
          <w:szCs w:val="30"/>
          <w:highlight w:val="none"/>
          <w:lang w:val="en-US" w:eastAsia="zh-CN" w:bidi="ar-SA"/>
        </w:rPr>
        <w:t>0.68%</w:t>
      </w:r>
      <w:r>
        <w:rPr>
          <w:rFonts w:hint="eastAsia" w:ascii="Times New Roman" w:hAnsi="Times New Roman" w:eastAsia="仿宋_GB2312" w:cs="Times New Roman"/>
          <w:snapToGrid/>
          <w:color w:val="auto"/>
          <w:kern w:val="2"/>
          <w:sz w:val="30"/>
          <w:szCs w:val="30"/>
          <w:highlight w:val="none"/>
          <w:lang w:val="en-US" w:eastAsia="zh-CN" w:bidi="ar-SA"/>
        </w:rPr>
        <w:t>，城镇开发边界扩展倍数为</w:t>
      </w:r>
      <w:r>
        <w:rPr>
          <w:rFonts w:hint="default" w:ascii="Times New Roman" w:hAnsi="Times New Roman" w:eastAsia="仿宋_GB2312" w:cs="Times New Roman"/>
          <w:snapToGrid/>
          <w:color w:val="auto"/>
          <w:kern w:val="2"/>
          <w:sz w:val="30"/>
          <w:szCs w:val="30"/>
          <w:highlight w:val="none"/>
          <w:lang w:val="en-US" w:eastAsia="zh-CN" w:bidi="ar-SA"/>
        </w:rPr>
        <w:t>1.21</w:t>
      </w:r>
      <w:r>
        <w:rPr>
          <w:rFonts w:hint="eastAsia" w:ascii="Times New Roman" w:hAnsi="Times New Roman" w:eastAsia="仿宋_GB2312" w:cs="Times New Roman"/>
          <w:snapToGrid/>
          <w:color w:val="auto"/>
          <w:kern w:val="2"/>
          <w:sz w:val="30"/>
          <w:szCs w:val="30"/>
          <w:highlight w:val="none"/>
          <w:lang w:val="en-US" w:eastAsia="zh-CN" w:bidi="ar-SA"/>
        </w:rPr>
        <w:t>倍。到</w:t>
      </w:r>
      <w:r>
        <w:rPr>
          <w:rFonts w:hint="default" w:ascii="Times New Roman" w:hAnsi="Times New Roman" w:eastAsia="仿宋_GB2312" w:cs="Times New Roman"/>
          <w:snapToGrid/>
          <w:color w:val="auto"/>
          <w:kern w:val="2"/>
          <w:sz w:val="30"/>
          <w:szCs w:val="30"/>
          <w:highlight w:val="none"/>
          <w:lang w:val="en-US" w:eastAsia="zh-CN" w:bidi="ar-SA"/>
        </w:rPr>
        <w:t>203</w:t>
      </w:r>
      <w:r>
        <w:rPr>
          <w:rFonts w:hint="eastAsia" w:ascii="Times New Roman" w:hAnsi="Times New Roman" w:eastAsia="仿宋_GB2312" w:cs="Times New Roman"/>
          <w:snapToGrid/>
          <w:color w:val="auto"/>
          <w:kern w:val="2"/>
          <w:sz w:val="30"/>
          <w:szCs w:val="30"/>
          <w:highlight w:val="none"/>
          <w:lang w:val="en-US" w:eastAsia="zh-CN" w:bidi="ar-SA"/>
        </w:rPr>
        <w:t>0年，</w:t>
      </w:r>
      <w:r>
        <w:rPr>
          <w:rFonts w:hint="eastAsia" w:ascii="Times New Roman" w:hAnsi="Times New Roman" w:eastAsia="仿宋_GB2312" w:cs="Times New Roman"/>
          <w:snapToGrid/>
          <w:color w:val="auto"/>
          <w:kern w:val="2"/>
          <w:sz w:val="30"/>
          <w:szCs w:val="30"/>
          <w:highlight w:val="none"/>
          <w:lang w:val="en-US" w:eastAsia="en-US" w:bidi="ar-SA"/>
        </w:rPr>
        <w:t>全面形成以资源环境承载力为约束，以国土空间规划为基础，以统一用途管制为手段的国土空间开发保护制度。</w:t>
      </w:r>
    </w:p>
    <w:p w14:paraId="258DF638">
      <w:pPr>
        <w:pStyle w:val="4"/>
        <w:keepNext w:val="0"/>
        <w:keepLines w:val="0"/>
        <w:pageBreakBefore w:val="0"/>
        <w:widowControl w:val="0"/>
        <w:numPr>
          <w:ilvl w:val="0"/>
          <w:numId w:val="8"/>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62" w:name="_Toc23246"/>
      <w:bookmarkStart w:id="63" w:name="_Toc22615"/>
      <w:r>
        <w:rPr>
          <w:rFonts w:hint="eastAsia" w:ascii="仿宋_GB2312" w:hAnsi="仿宋_GB2312" w:eastAsia="仿宋_GB2312" w:cs="仿宋_GB2312"/>
          <w:snapToGrid/>
          <w:kern w:val="2"/>
          <w:sz w:val="30"/>
          <w:szCs w:val="30"/>
          <w:highlight w:val="none"/>
          <w:lang w:val="en-US" w:eastAsia="zh-CN"/>
        </w:rPr>
        <w:t>强化区域生态保护监管</w:t>
      </w:r>
      <w:bookmarkEnd w:id="62"/>
      <w:bookmarkEnd w:id="63"/>
    </w:p>
    <w:p w14:paraId="3392FFAE">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after="0"/>
        <w:ind w:firstLine="602" w:firstLineChars="200"/>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建立国土空间规划管理监督体系。</w:t>
      </w:r>
      <w:r>
        <w:rPr>
          <w:rFonts w:hint="eastAsia" w:ascii="Times New Roman" w:hAnsi="Times New Roman" w:eastAsia="仿宋_GB2312" w:cs="Times New Roman"/>
          <w:snapToGrid/>
          <w:color w:val="auto"/>
          <w:kern w:val="2"/>
          <w:sz w:val="30"/>
          <w:szCs w:val="30"/>
          <w:highlight w:val="none"/>
          <w:lang w:val="en-US" w:eastAsia="zh-CN" w:bidi="ar-SA"/>
        </w:rPr>
        <w:t>建立政府对总体规划实施评估监控机制，通过对人口、用地、交通、环境、资源等因素的发展变化进行实时监控和评价，对规划进行校核，确保政府对规划及其实施进行动态调控。严格执行规划管理许可程序，建立健全城市规划的监督检查制度。发挥法律监督、行政监督、舆论监督和群众监督的作用，对规划实施情况进行监督检查，认真查处和纠正各种违反规划的行为，加大对违法建设打击力度。将国土空间规划实施情况作为生态文明建设考核的重要内容，纳入各级领导干部政绩考核体系。筹划完善的行政责任追究制度；推行城乡规划阳光工程，通过民主、公开、程序化的方式建立行之有效的城乡规划监督制约机制。</w:t>
      </w:r>
    </w:p>
    <w:p w14:paraId="67DB59EE">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after="0"/>
        <w:ind w:firstLine="602" w:firstLineChars="200"/>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深入开展重点区域常态化监督性监测。</w:t>
      </w:r>
      <w:r>
        <w:rPr>
          <w:rFonts w:hint="eastAsia" w:ascii="Times New Roman" w:hAnsi="Times New Roman" w:eastAsia="仿宋_GB2312" w:cs="Times New Roman"/>
          <w:snapToGrid/>
          <w:color w:val="auto"/>
          <w:kern w:val="2"/>
          <w:sz w:val="30"/>
          <w:szCs w:val="30"/>
          <w:highlight w:val="none"/>
          <w:lang w:val="en-US" w:eastAsia="zh-CN" w:bidi="ar-SA"/>
        </w:rPr>
        <w:t>开展五常市域内各级各类自然保护地生态环境日常监管，及时准确把握区域内自然生态系统质量和开发建设活动情况。定期组织开展国家级自然保护地人类活动遥感监测，持续开展“绿盾”自然保护地强化监督专项行动，严肃查处各类违法违规行为。重点加强采矿采砂、挤占河（湖）岸、侵占湿地，以及核心区缓冲区内旅游开发等重点问题监测。有序推进生态保护监管重点区域森林、草原、河湖、湿地等生态系统监测。加强城镇建设和资源开发对生态系统占用情况遥感监测，以及城市内部生物多样性、生态廊道和绿地建设等监测。加大中央生态环境保护督察明确要求整改的区域和生态破坏突出问题区域监测频次，开展跟踪监测，督促及时整改。根据五常市生态系统空间分布状况和区域主体功能定位，明确生态保护监管重点区域，建立健全重点区域监测评估和监管工作机制。</w:t>
      </w:r>
    </w:p>
    <w:p w14:paraId="12D9445D">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after="0"/>
        <w:ind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完善生态保护监督执法制度。</w:t>
      </w:r>
      <w:r>
        <w:rPr>
          <w:rFonts w:hint="eastAsia" w:ascii="Times New Roman" w:hAnsi="Times New Roman" w:eastAsia="仿宋_GB2312" w:cs="Times New Roman"/>
          <w:snapToGrid/>
          <w:color w:val="auto"/>
          <w:kern w:val="2"/>
          <w:sz w:val="30"/>
          <w:szCs w:val="30"/>
          <w:highlight w:val="none"/>
          <w:lang w:val="en-US" w:eastAsia="zh-CN" w:bidi="ar-SA"/>
        </w:rPr>
        <w:t>推动生态保护红线、自然保护地、生物多样性保护和生物安全监管立法。完善生态保护红线、自然保护地、生物多样性保护和生态文明示范建设等重点领域的监督办法。完善生态监测调查与评估、生态监测站点及样地建设、检查执法和督查考核等各项标准规范。聚焦生态保护监管的重点区域、领域和突出生态环境问题，对标中央生态环境保护督察及“回头看”，督促责任部门履行好生态保护修复与监管职责。完善自然保护地生态环境监管系统，规范自然保护地生态破坏问题台账管理，提升自然保护地生态环境监管能力。开展自然保护地内非法开矿、修路、筑坝、建设等造成生态破坏和违法排放污染物的执法工作。自然保护地生态环境保护成效评估、生态环境强化监督、日常监督和生态环境保护综合行政执法的结果，作为有关单位干部综合评价、责任追究、离任审计和对有关地区开展生态补偿的参考。</w:t>
      </w:r>
    </w:p>
    <w:p w14:paraId="27948A8B">
      <w:pPr>
        <w:pStyle w:val="4"/>
        <w:keepNext w:val="0"/>
        <w:keepLines w:val="0"/>
        <w:pageBreakBefore w:val="0"/>
        <w:widowControl w:val="0"/>
        <w:numPr>
          <w:ilvl w:val="0"/>
          <w:numId w:val="8"/>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64" w:name="_Toc9067"/>
      <w:bookmarkStart w:id="65" w:name="_Toc10537"/>
      <w:r>
        <w:rPr>
          <w:rFonts w:hint="eastAsia" w:ascii="仿宋_GB2312" w:hAnsi="仿宋_GB2312" w:eastAsia="仿宋_GB2312" w:cs="仿宋_GB2312"/>
          <w:snapToGrid/>
          <w:kern w:val="2"/>
          <w:sz w:val="30"/>
          <w:szCs w:val="30"/>
          <w:highlight w:val="none"/>
          <w:lang w:val="en-US" w:eastAsia="zh-CN"/>
        </w:rPr>
        <w:t>持续推进环境质量改善</w:t>
      </w:r>
      <w:bookmarkEnd w:id="64"/>
      <w:bookmarkEnd w:id="65"/>
    </w:p>
    <w:p w14:paraId="63593C36">
      <w:pPr>
        <w:pStyle w:val="5"/>
        <w:pageBreakBefore w:val="0"/>
        <w:widowControl/>
        <w:numPr>
          <w:ilvl w:val="0"/>
          <w:numId w:val="9"/>
        </w:numPr>
        <w:kinsoku w:val="0"/>
        <w:wordWrap/>
        <w:overflowPunct/>
        <w:topLinePunct w:val="0"/>
        <w:autoSpaceDE w:val="0"/>
        <w:autoSpaceDN w:val="0"/>
        <w:bidi w:val="0"/>
        <w:adjustRightInd w:val="0"/>
        <w:snapToGrid w:val="0"/>
        <w:spacing w:before="0" w:beforeLines="0" w:after="0" w:afterLines="0" w:line="360" w:lineRule="auto"/>
        <w:ind w:left="0" w:leftChars="0" w:firstLine="0" w:firstLineChars="0"/>
        <w:textAlignment w:val="baseline"/>
        <w:rPr>
          <w:rFonts w:hint="default"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深入打好大气污染防治攻坚战</w:t>
      </w:r>
    </w:p>
    <w:p w14:paraId="235206F7">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b w:val="0"/>
          <w:bCs w:val="0"/>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打好重污染天气消除攻坚战</w:t>
      </w:r>
      <w:r>
        <w:rPr>
          <w:rFonts w:hint="eastAsia" w:eastAsia="仿宋_GB2312" w:cs="Times New Roman"/>
          <w:b/>
          <w:bCs/>
          <w:snapToGrid/>
          <w:color w:val="auto"/>
          <w:kern w:val="2"/>
          <w:sz w:val="30"/>
          <w:szCs w:val="30"/>
          <w:highlight w:val="none"/>
          <w:lang w:val="en-US" w:eastAsia="zh-CN" w:bidi="ar-SA"/>
        </w:rPr>
        <w:t>。</w:t>
      </w:r>
      <w:r>
        <w:rPr>
          <w:rFonts w:hint="eastAsia" w:ascii="Times New Roman" w:hAnsi="Times New Roman" w:eastAsia="仿宋_GB2312" w:cs="Times New Roman"/>
          <w:b w:val="0"/>
          <w:bCs w:val="0"/>
          <w:snapToGrid/>
          <w:color w:val="auto"/>
          <w:kern w:val="2"/>
          <w:sz w:val="30"/>
          <w:szCs w:val="30"/>
          <w:highlight w:val="none"/>
          <w:lang w:val="en-US" w:eastAsia="zh-CN" w:bidi="ar-SA"/>
        </w:rPr>
        <w:t>深入实施散煤污染治理工作，到2025年，全市煤炭总产能控制在24.17吨/年</w:t>
      </w:r>
      <w:r>
        <w:rPr>
          <w:rFonts w:hint="eastAsia" w:eastAsia="仿宋_GB2312" w:cs="Times New Roman"/>
          <w:b w:val="0"/>
          <w:bCs w:val="0"/>
          <w:snapToGrid/>
          <w:color w:val="auto"/>
          <w:kern w:val="2"/>
          <w:sz w:val="30"/>
          <w:szCs w:val="30"/>
          <w:highlight w:val="none"/>
          <w:lang w:val="en-US" w:eastAsia="zh-CN" w:bidi="ar-SA"/>
        </w:rPr>
        <w:t>，全市城镇清洁取暖率达到70%以上。</w:t>
      </w:r>
      <w:r>
        <w:rPr>
          <w:rFonts w:hint="eastAsia" w:ascii="Times New Roman" w:hAnsi="Times New Roman" w:eastAsia="仿宋_GB2312" w:cs="Times New Roman"/>
          <w:b w:val="0"/>
          <w:bCs w:val="0"/>
          <w:snapToGrid/>
          <w:color w:val="auto"/>
          <w:kern w:val="2"/>
          <w:sz w:val="30"/>
          <w:szCs w:val="30"/>
          <w:highlight w:val="none"/>
          <w:lang w:val="en-US" w:eastAsia="zh-CN" w:bidi="ar-SA"/>
        </w:rPr>
        <w:t>持续推进棚户区改造，对暂时无法搬迁改造的加快电、气等清洁能源及洁净燃料替代。科学测算扩建现有供热能力，加强供热网建设，扩大集中</w:t>
      </w:r>
      <w:r>
        <w:rPr>
          <w:rFonts w:hint="eastAsia" w:eastAsia="仿宋_GB2312" w:cs="Times New Roman"/>
          <w:b w:val="0"/>
          <w:bCs w:val="0"/>
          <w:snapToGrid/>
          <w:color w:val="auto"/>
          <w:kern w:val="2"/>
          <w:sz w:val="30"/>
          <w:szCs w:val="30"/>
          <w:highlight w:val="none"/>
          <w:lang w:val="en-US" w:eastAsia="zh-CN" w:bidi="ar-SA"/>
        </w:rPr>
        <w:t>供</w:t>
      </w:r>
      <w:r>
        <w:rPr>
          <w:rFonts w:hint="eastAsia" w:ascii="Times New Roman" w:hAnsi="Times New Roman" w:eastAsia="仿宋_GB2312" w:cs="Times New Roman"/>
          <w:b w:val="0"/>
          <w:bCs w:val="0"/>
          <w:snapToGrid/>
          <w:color w:val="auto"/>
          <w:kern w:val="2"/>
          <w:sz w:val="30"/>
          <w:szCs w:val="30"/>
          <w:highlight w:val="none"/>
          <w:lang w:val="en-US" w:eastAsia="zh-CN" w:bidi="ar-SA"/>
        </w:rPr>
        <w:t>热面积。推进农村地区生物质等可再生能源替代燃煤。加强秸秆收、储、运、处理体系建设，大力整治露天焚烧秸秆等行为。到2025年，全市秸秆综合利用率达到95%以上。严格落实“三全”（全域、全时段、全面）“五定”（定区域、定人员、定职责、定任务、定奖惩）禁烧政策，秸秆露天焚烧行为得到有效管控。健全完善市、乡镇两级重污染天气应急预案体系。推进建材等重点行业企业绩效分级、落实差异化管理要求。强化重污染天气联防联控机制</w:t>
      </w:r>
      <w:r>
        <w:rPr>
          <w:rFonts w:hint="eastAsia" w:eastAsia="仿宋_GB2312" w:cs="Times New Roman"/>
          <w:b w:val="0"/>
          <w:bCs w:val="0"/>
          <w:snapToGrid/>
          <w:color w:val="auto"/>
          <w:kern w:val="2"/>
          <w:sz w:val="30"/>
          <w:szCs w:val="30"/>
          <w:highlight w:val="none"/>
          <w:lang w:val="en-US" w:eastAsia="zh-CN" w:bidi="ar-SA"/>
        </w:rPr>
        <w:t>，</w:t>
      </w:r>
      <w:r>
        <w:rPr>
          <w:rFonts w:hint="eastAsia" w:ascii="Times New Roman" w:hAnsi="Times New Roman" w:eastAsia="仿宋_GB2312" w:cs="Times New Roman"/>
          <w:b w:val="0"/>
          <w:bCs w:val="0"/>
          <w:snapToGrid/>
          <w:color w:val="auto"/>
          <w:kern w:val="2"/>
          <w:sz w:val="30"/>
          <w:szCs w:val="30"/>
          <w:highlight w:val="none"/>
          <w:lang w:val="en-US" w:eastAsia="zh-CN" w:bidi="ar-SA"/>
        </w:rPr>
        <w:t>加强重点区域大气污染防治攻坚。到2025年，</w:t>
      </w:r>
      <w:r>
        <w:rPr>
          <w:rFonts w:hint="eastAsia" w:ascii="Times New Roman" w:hAnsi="Times New Roman" w:eastAsia="仿宋_GB2312" w:cs="Times New Roman"/>
          <w:b w:val="0"/>
          <w:bCs w:val="0"/>
          <w:snapToGrid/>
          <w:color w:val="auto"/>
          <w:kern w:val="2"/>
          <w:sz w:val="30"/>
          <w:szCs w:val="30"/>
          <w:highlight w:val="none"/>
          <w:lang w:val="en" w:eastAsia="zh-CN" w:bidi="ar-SA"/>
        </w:rPr>
        <w:t>五常</w:t>
      </w:r>
      <w:r>
        <w:rPr>
          <w:rFonts w:hint="eastAsia" w:ascii="Times New Roman" w:hAnsi="Times New Roman" w:eastAsia="仿宋_GB2312" w:cs="Times New Roman"/>
          <w:b w:val="0"/>
          <w:bCs w:val="0"/>
          <w:snapToGrid/>
          <w:color w:val="auto"/>
          <w:kern w:val="2"/>
          <w:sz w:val="30"/>
          <w:szCs w:val="30"/>
          <w:highlight w:val="none"/>
          <w:lang w:val="en-US" w:eastAsia="zh-CN" w:bidi="ar-SA"/>
        </w:rPr>
        <w:t>市区重污染天气不超过9天。</w:t>
      </w:r>
    </w:p>
    <w:p w14:paraId="306397BC">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仿宋_GB2312" w:hAnsi="仿宋_GB2312" w:eastAsia="仿宋_GB2312" w:cs="仿宋_GB2312"/>
          <w:color w:val="000000"/>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打好臭氧污染防治攻坚战。</w:t>
      </w:r>
      <w:r>
        <w:rPr>
          <w:rFonts w:hint="eastAsia" w:ascii="Times New Roman" w:hAnsi="Times New Roman" w:eastAsia="仿宋_GB2312" w:cs="Times New Roman"/>
          <w:color w:val="000000"/>
          <w:kern w:val="2"/>
          <w:sz w:val="30"/>
          <w:szCs w:val="30"/>
          <w:highlight w:val="none"/>
          <w:lang w:val="en-US" w:eastAsia="zh-CN" w:bidi="ar-SA"/>
        </w:rPr>
        <w:t>推进石化、化工、涂装、医药、包装印刷、油品储运销等行业挥发性有机物综合治理。实施低挥发性有机物原辅材料和产品源头替代，控制生产和使用高挥发性有机物含量涂料、油墨等</w:t>
      </w:r>
      <w:r>
        <w:rPr>
          <w:rFonts w:hint="eastAsia" w:ascii="仿宋_GB2312" w:hAnsi="仿宋_GB2312" w:eastAsia="仿宋_GB2312" w:cs="仿宋_GB2312"/>
          <w:color w:val="000000"/>
          <w:kern w:val="2"/>
          <w:sz w:val="30"/>
          <w:szCs w:val="30"/>
          <w:highlight w:val="none"/>
          <w:lang w:val="en-US" w:eastAsia="zh-CN" w:bidi="ar-SA"/>
        </w:rPr>
        <w:t>，提高水性、高固体分等低挥发性有机物含量产品比重。实施氮氧化物减量控制，鼓励水泥行业开展超低排放改造。实施产业集群排查和专项整治行动，实现企业升级和区域环境改善。</w:t>
      </w:r>
    </w:p>
    <w:p w14:paraId="009771C9">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仿宋_GB2312" w:hAnsi="仿宋_GB2312" w:eastAsia="仿宋_GB2312" w:cs="仿宋_GB2312"/>
          <w:color w:val="000000"/>
          <w:kern w:val="2"/>
          <w:sz w:val="30"/>
          <w:szCs w:val="30"/>
          <w:highlight w:val="none"/>
          <w:lang w:val="en-US" w:eastAsia="zh-CN" w:bidi="ar-SA"/>
        </w:rPr>
      </w:pPr>
      <w:r>
        <w:rPr>
          <w:rFonts w:hint="eastAsia" w:ascii="仿宋_GB2312" w:hAnsi="仿宋_GB2312" w:eastAsia="仿宋_GB2312" w:cs="仿宋_GB2312"/>
          <w:b/>
          <w:bCs/>
          <w:color w:val="000000"/>
          <w:kern w:val="2"/>
          <w:sz w:val="30"/>
          <w:szCs w:val="30"/>
          <w:highlight w:val="none"/>
          <w:lang w:val="en-US" w:eastAsia="zh-CN" w:bidi="ar"/>
        </w:rPr>
        <w:t>打好柴油货车污染治理攻坚战。</w:t>
      </w:r>
      <w:r>
        <w:rPr>
          <w:rFonts w:hint="eastAsia" w:ascii="仿宋_GB2312" w:hAnsi="仿宋_GB2312" w:eastAsia="仿宋_GB2312" w:cs="仿宋_GB2312"/>
          <w:color w:val="000000"/>
          <w:kern w:val="2"/>
          <w:sz w:val="30"/>
          <w:szCs w:val="30"/>
          <w:highlight w:val="none"/>
          <w:lang w:val="en-US" w:eastAsia="zh-CN" w:bidi="ar-SA"/>
        </w:rPr>
        <w:t>深入实施清洁柴油车（机）行动，强化部门联合监管和执法，推进非道路移动机械清洁化更新。坚决打击非标油品，全面清理整顿无证无照自建油罐、流动加油车和黑加油站点。继续推进新能源汽车推广应用，推进公共交通、公务用车电动化进程。严格执行车辆登记、车辆检验监督要求，基本淘汰国三及以下排放标准汽车。</w:t>
      </w:r>
    </w:p>
    <w:p w14:paraId="0F53E6E3">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color w:val="000000"/>
          <w:sz w:val="30"/>
          <w:szCs w:val="30"/>
          <w:highlight w:val="none"/>
        </w:rPr>
      </w:pPr>
      <w:r>
        <w:rPr>
          <w:rFonts w:hint="eastAsia" w:ascii="仿宋_GB2312" w:hAnsi="仿宋_GB2312" w:eastAsia="仿宋_GB2312" w:cs="仿宋_GB2312"/>
          <w:b/>
          <w:bCs/>
          <w:color w:val="000000"/>
          <w:kern w:val="2"/>
          <w:sz w:val="30"/>
          <w:szCs w:val="30"/>
          <w:highlight w:val="none"/>
          <w:lang w:val="en-US" w:eastAsia="zh-CN" w:bidi="ar"/>
        </w:rPr>
        <w:t>开展大气面源和噪声污染治理行动。</w:t>
      </w:r>
      <w:r>
        <w:rPr>
          <w:rFonts w:hint="eastAsia" w:ascii="Times New Roman" w:hAnsi="Times New Roman" w:eastAsia="仿宋_GB2312" w:cs="Times New Roman"/>
          <w:color w:val="000000"/>
          <w:sz w:val="30"/>
          <w:szCs w:val="30"/>
          <w:highlight w:val="none"/>
        </w:rPr>
        <w:t>实施扬尘专项管控，对施工工地、企业堆场进行严管，排查道路、裸地清扫、苫盖情况，实行分类施治。严厉打击群众反映强烈的餐饮油烟、恶臭异味等污染问题。深化消耗臭氧层物质和氢氟碳化物环境管理。强化声环境功能区管理。合理规划防噪声距离，有效实施降噪工程，着力解决夜间噪声问题。到2025年，</w:t>
      </w:r>
      <w:r>
        <w:rPr>
          <w:rFonts w:hint="eastAsia" w:ascii="Times New Roman" w:hAnsi="Times New Roman" w:eastAsia="仿宋_GB2312" w:cs="Times New Roman"/>
          <w:color w:val="000000"/>
          <w:sz w:val="30"/>
          <w:szCs w:val="30"/>
          <w:highlight w:val="none"/>
          <w:lang w:val="en" w:eastAsia="zh-CN"/>
        </w:rPr>
        <w:t>五常</w:t>
      </w:r>
      <w:r>
        <w:rPr>
          <w:rFonts w:hint="eastAsia" w:ascii="Times New Roman" w:hAnsi="Times New Roman" w:eastAsia="仿宋_GB2312" w:cs="Times New Roman"/>
          <w:color w:val="000000"/>
          <w:sz w:val="30"/>
          <w:szCs w:val="30"/>
          <w:highlight w:val="none"/>
        </w:rPr>
        <w:t>市城区实现功能区声环境质量自动监测，声环境功能区夜间达标率达到国家要求。</w:t>
      </w:r>
    </w:p>
    <w:p w14:paraId="4D3C3E2D">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color w:val="000000"/>
          <w:sz w:val="30"/>
          <w:szCs w:val="30"/>
          <w:highlight w:val="none"/>
        </w:rPr>
      </w:pPr>
      <w:r>
        <w:rPr>
          <w:rFonts w:hint="eastAsia" w:ascii="仿宋_GB2312" w:hAnsi="仿宋_GB2312" w:eastAsia="仿宋_GB2312" w:cs="仿宋_GB2312"/>
          <w:b/>
          <w:bCs/>
          <w:color w:val="000000"/>
          <w:kern w:val="2"/>
          <w:sz w:val="30"/>
          <w:szCs w:val="30"/>
          <w:highlight w:val="none"/>
          <w:lang w:val="en-US" w:eastAsia="zh-CN" w:bidi="ar"/>
        </w:rPr>
        <w:t>提升大气环境管理精细化水平。</w:t>
      </w:r>
      <w:r>
        <w:rPr>
          <w:rFonts w:hint="eastAsia" w:ascii="Times New Roman" w:hAnsi="Times New Roman" w:eastAsia="仿宋_GB2312" w:cs="Times New Roman"/>
          <w:snapToGrid/>
          <w:color w:val="auto"/>
          <w:kern w:val="2"/>
          <w:sz w:val="30"/>
          <w:szCs w:val="30"/>
          <w:highlight w:val="none"/>
          <w:lang w:val="en-US" w:eastAsia="zh-CN" w:bidi="ar-SA"/>
        </w:rPr>
        <w:t>加强环境监测自动站等监测基础能力建设，补齐细颗粒物和臭氧协同控制、温室气体排放等监测短板，实现环境质量、污染源监测全覆盖，配合做好哈尔滨市冰雪特色试点监测。</w:t>
      </w:r>
      <w:r>
        <w:rPr>
          <w:rFonts w:hint="eastAsia" w:ascii="Times New Roman" w:hAnsi="Times New Roman" w:eastAsia="仿宋_GB2312" w:cs="Times New Roman"/>
          <w:color w:val="000000"/>
          <w:sz w:val="30"/>
          <w:szCs w:val="30"/>
          <w:highlight w:val="none"/>
        </w:rPr>
        <w:t>推进部门间和</w:t>
      </w:r>
      <w:r>
        <w:rPr>
          <w:rFonts w:hint="eastAsia" w:ascii="Times New Roman" w:hAnsi="Times New Roman" w:eastAsia="仿宋_GB2312" w:cs="Times New Roman"/>
          <w:color w:val="000000"/>
          <w:sz w:val="30"/>
          <w:szCs w:val="30"/>
          <w:highlight w:val="none"/>
          <w:lang w:val="en-US" w:eastAsia="zh-CN"/>
        </w:rPr>
        <w:t>区域间</w:t>
      </w:r>
      <w:r>
        <w:rPr>
          <w:rFonts w:hint="eastAsia" w:ascii="Times New Roman" w:hAnsi="Times New Roman" w:eastAsia="仿宋_GB2312" w:cs="Times New Roman"/>
          <w:color w:val="000000"/>
          <w:sz w:val="30"/>
          <w:szCs w:val="30"/>
          <w:highlight w:val="none"/>
        </w:rPr>
        <w:t>信息共享，</w:t>
      </w:r>
      <w:r>
        <w:rPr>
          <w:rFonts w:hint="eastAsia" w:ascii="Times New Roman" w:hAnsi="Times New Roman" w:eastAsia="仿宋_GB2312" w:cs="Times New Roman"/>
          <w:color w:val="000000"/>
          <w:sz w:val="30"/>
          <w:szCs w:val="30"/>
          <w:highlight w:val="none"/>
          <w:lang w:eastAsia="zh-CN"/>
        </w:rPr>
        <w:t>实现</w:t>
      </w:r>
      <w:r>
        <w:rPr>
          <w:rFonts w:hint="eastAsia" w:ascii="Times New Roman" w:hAnsi="Times New Roman" w:eastAsia="仿宋_GB2312" w:cs="Times New Roman"/>
          <w:color w:val="000000"/>
          <w:sz w:val="30"/>
          <w:szCs w:val="30"/>
          <w:highlight w:val="none"/>
        </w:rPr>
        <w:t>环境空气质量、污染源在线监测，企业能耗数据、用电量、工业产品产量</w:t>
      </w:r>
      <w:r>
        <w:rPr>
          <w:rFonts w:hint="eastAsia" w:ascii="Times New Roman" w:hAnsi="Times New Roman" w:eastAsia="仿宋_GB2312" w:cs="Times New Roman"/>
          <w:color w:val="000000"/>
          <w:sz w:val="30"/>
          <w:szCs w:val="30"/>
          <w:highlight w:val="none"/>
          <w:lang w:eastAsia="zh-CN"/>
        </w:rPr>
        <w:t>，机</w:t>
      </w:r>
      <w:r>
        <w:rPr>
          <w:rFonts w:hint="eastAsia" w:ascii="Times New Roman" w:hAnsi="Times New Roman" w:eastAsia="仿宋_GB2312" w:cs="Times New Roman"/>
          <w:color w:val="000000"/>
          <w:sz w:val="30"/>
          <w:szCs w:val="30"/>
          <w:highlight w:val="none"/>
        </w:rPr>
        <w:t>动车保有量、城市主要干道交通流量和机动车</w:t>
      </w:r>
      <w:r>
        <w:rPr>
          <w:rFonts w:hint="eastAsia" w:ascii="Times New Roman" w:hAnsi="Times New Roman" w:eastAsia="仿宋_GB2312" w:cs="Times New Roman"/>
          <w:color w:val="000000"/>
          <w:sz w:val="30"/>
          <w:szCs w:val="30"/>
          <w:highlight w:val="none"/>
          <w:lang w:eastAsia="zh-CN"/>
        </w:rPr>
        <w:t>环境</w:t>
      </w:r>
      <w:r>
        <w:rPr>
          <w:rFonts w:hint="eastAsia" w:ascii="Times New Roman" w:hAnsi="Times New Roman" w:eastAsia="仿宋_GB2312" w:cs="Times New Roman"/>
          <w:color w:val="000000"/>
          <w:sz w:val="30"/>
          <w:szCs w:val="30"/>
          <w:highlight w:val="none"/>
        </w:rPr>
        <w:t>违法处罚情况、非道路移动机械登记，建筑工地数量、建筑工地扬尘在线监测信息数据，气象监测数据和气象预测预报等方面共享数据。加快大气污染物网格化监测建设，在经济技术开发区、重点交通道路、周界区域及重点涉气企业布设空气质量网格化微观监测站点</w:t>
      </w:r>
      <w:r>
        <w:rPr>
          <w:rFonts w:hint="eastAsia" w:ascii="Times New Roman" w:hAnsi="Times New Roman" w:eastAsia="仿宋_GB2312" w:cs="Times New Roman"/>
          <w:color w:val="000000"/>
          <w:sz w:val="30"/>
          <w:szCs w:val="30"/>
          <w:highlight w:val="none"/>
          <w:lang w:eastAsia="zh-CN"/>
        </w:rPr>
        <w:t>。</w:t>
      </w:r>
      <w:r>
        <w:rPr>
          <w:rFonts w:hint="eastAsia" w:ascii="Times New Roman" w:hAnsi="Times New Roman" w:eastAsia="仿宋_GB2312" w:cs="Times New Roman"/>
          <w:color w:val="000000"/>
          <w:sz w:val="30"/>
          <w:szCs w:val="30"/>
          <w:highlight w:val="none"/>
          <w:lang w:val="en-US" w:eastAsia="zh-CN"/>
        </w:rPr>
        <w:t>到</w:t>
      </w:r>
      <w:r>
        <w:rPr>
          <w:rFonts w:hint="eastAsia" w:ascii="Times New Roman" w:hAnsi="Times New Roman" w:eastAsia="仿宋_GB2312" w:cs="Times New Roman"/>
          <w:color w:val="000000"/>
          <w:sz w:val="30"/>
          <w:szCs w:val="30"/>
          <w:highlight w:val="none"/>
        </w:rPr>
        <w:t>20</w:t>
      </w:r>
      <w:r>
        <w:rPr>
          <w:rFonts w:hint="eastAsia" w:ascii="Times New Roman" w:hAnsi="Times New Roman" w:eastAsia="仿宋_GB2312" w:cs="Times New Roman"/>
          <w:color w:val="000000"/>
          <w:sz w:val="30"/>
          <w:szCs w:val="30"/>
          <w:highlight w:val="none"/>
          <w:lang w:val="en-US" w:eastAsia="zh-CN"/>
        </w:rPr>
        <w:t>30</w:t>
      </w:r>
      <w:r>
        <w:rPr>
          <w:rFonts w:hint="eastAsia" w:ascii="Times New Roman" w:hAnsi="Times New Roman" w:eastAsia="仿宋_GB2312" w:cs="Times New Roman"/>
          <w:color w:val="000000"/>
          <w:sz w:val="30"/>
          <w:szCs w:val="30"/>
          <w:highlight w:val="none"/>
        </w:rPr>
        <w:t>年</w:t>
      </w:r>
      <w:r>
        <w:rPr>
          <w:rFonts w:hint="eastAsia" w:ascii="Times New Roman" w:hAnsi="Times New Roman" w:eastAsia="仿宋_GB2312" w:cs="Times New Roman"/>
          <w:color w:val="000000"/>
          <w:sz w:val="30"/>
          <w:szCs w:val="30"/>
          <w:highlight w:val="none"/>
          <w:lang w:eastAsia="zh-CN"/>
        </w:rPr>
        <w:t>，</w:t>
      </w:r>
      <w:r>
        <w:rPr>
          <w:rFonts w:hint="eastAsia" w:ascii="Times New Roman" w:hAnsi="Times New Roman" w:eastAsia="仿宋_GB2312" w:cs="Times New Roman"/>
          <w:color w:val="000000"/>
          <w:sz w:val="30"/>
          <w:szCs w:val="30"/>
          <w:highlight w:val="none"/>
        </w:rPr>
        <w:t>初步形成空气质量监测网，开展大气污染成因分析。积极配合参与</w:t>
      </w:r>
      <w:r>
        <w:rPr>
          <w:rFonts w:hint="eastAsia" w:ascii="Times New Roman" w:hAnsi="Times New Roman" w:eastAsia="仿宋_GB2312" w:cs="Times New Roman"/>
          <w:color w:val="000000"/>
          <w:sz w:val="30"/>
          <w:szCs w:val="30"/>
          <w:highlight w:val="none"/>
          <w:lang w:val="en-US" w:eastAsia="zh-CN"/>
        </w:rPr>
        <w:t>黑吉</w:t>
      </w:r>
      <w:r>
        <w:rPr>
          <w:rFonts w:hint="eastAsia" w:ascii="Times New Roman" w:hAnsi="Times New Roman" w:eastAsia="仿宋_GB2312" w:cs="Times New Roman"/>
          <w:color w:val="000000"/>
          <w:sz w:val="30"/>
          <w:szCs w:val="30"/>
          <w:highlight w:val="none"/>
        </w:rPr>
        <w:t>城市群大气污染防治对策研究</w:t>
      </w:r>
      <w:r>
        <w:rPr>
          <w:rFonts w:hint="eastAsia" w:ascii="Times New Roman" w:hAnsi="Times New Roman" w:eastAsia="仿宋_GB2312" w:cs="Times New Roman"/>
          <w:color w:val="000000"/>
          <w:sz w:val="30"/>
          <w:szCs w:val="30"/>
          <w:highlight w:val="none"/>
          <w:lang w:eastAsia="zh-CN"/>
        </w:rPr>
        <w:t>，</w:t>
      </w:r>
      <w:r>
        <w:rPr>
          <w:rFonts w:hint="eastAsia" w:ascii="Times New Roman" w:hAnsi="Times New Roman" w:eastAsia="仿宋_GB2312" w:cs="Times New Roman"/>
          <w:color w:val="000000"/>
          <w:sz w:val="30"/>
          <w:szCs w:val="30"/>
          <w:highlight w:val="none"/>
        </w:rPr>
        <w:t>持续深化区域大气污染联防联控工作。</w:t>
      </w:r>
    </w:p>
    <w:p w14:paraId="7E5EFFC3">
      <w:pPr>
        <w:pStyle w:val="5"/>
        <w:pageBreakBefore w:val="0"/>
        <w:widowControl/>
        <w:numPr>
          <w:ilvl w:val="0"/>
          <w:numId w:val="9"/>
        </w:numPr>
        <w:kinsoku w:val="0"/>
        <w:wordWrap/>
        <w:overflowPunct/>
        <w:topLinePunct w:val="0"/>
        <w:autoSpaceDE w:val="0"/>
        <w:autoSpaceDN w:val="0"/>
        <w:bidi w:val="0"/>
        <w:adjustRightInd w:val="0"/>
        <w:snapToGrid w:val="0"/>
        <w:spacing w:before="0" w:beforeLines="0" w:after="0" w:afterLines="0" w:line="360" w:lineRule="auto"/>
        <w:ind w:left="0" w:leftChars="0" w:firstLine="0" w:firstLineChars="0"/>
        <w:textAlignment w:val="baseline"/>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巩固提升水生态环境治理成效</w:t>
      </w:r>
    </w:p>
    <w:p w14:paraId="09A82E77">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color w:val="000000"/>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持续加强重点流域保护治理。</w:t>
      </w:r>
      <w:r>
        <w:rPr>
          <w:rFonts w:hint="eastAsia" w:ascii="Times New Roman" w:hAnsi="Times New Roman" w:eastAsia="仿宋_GB2312" w:cs="Times New Roman"/>
          <w:b w:val="0"/>
          <w:bCs w:val="0"/>
          <w:snapToGrid/>
          <w:color w:val="auto"/>
          <w:kern w:val="2"/>
          <w:sz w:val="30"/>
          <w:szCs w:val="30"/>
          <w:highlight w:val="none"/>
          <w:lang w:val="en-US" w:eastAsia="zh-CN" w:bidi="ar-SA"/>
        </w:rPr>
        <w:t>加强对拉林河、牤牛河、溪浪河等重点流域以及水库、小微水体水质监测，重点解决污水乱排、垃圾乱倒、粪污乱堆等问题，改善水环境质量。</w:t>
      </w:r>
      <w:r>
        <w:rPr>
          <w:rFonts w:hint="eastAsia" w:ascii="Times New Roman" w:hAnsi="Times New Roman" w:eastAsia="仿宋_GB2312" w:cs="Times New Roman"/>
          <w:color w:val="000000"/>
          <w:kern w:val="2"/>
          <w:sz w:val="30"/>
          <w:szCs w:val="30"/>
          <w:highlight w:val="none"/>
          <w:lang w:val="en-US" w:eastAsia="zh-CN" w:bidi="ar-SA"/>
        </w:rPr>
        <w:t>强化河湖生态流量保障，巩固深化</w:t>
      </w:r>
      <w:r>
        <w:rPr>
          <w:rFonts w:hint="eastAsia" w:ascii="仿宋_GB2312" w:hAnsi="仿宋_GB2312" w:eastAsia="仿宋_GB2312" w:cs="仿宋_GB2312"/>
          <w:color w:val="000000"/>
          <w:kern w:val="2"/>
          <w:sz w:val="30"/>
          <w:szCs w:val="30"/>
          <w:highlight w:val="none"/>
          <w:lang w:val="en-US" w:eastAsia="zh-CN" w:bidi="ar-SA"/>
        </w:rPr>
        <w:t>河湖“清四乱”成果，不断提升河湖生态治理能力。</w:t>
      </w:r>
      <w:r>
        <w:rPr>
          <w:rFonts w:hint="eastAsia" w:ascii="Times New Roman" w:hAnsi="Times New Roman" w:eastAsia="仿宋_GB2312" w:cs="Times New Roman"/>
          <w:b w:val="0"/>
          <w:bCs w:val="0"/>
          <w:snapToGrid/>
          <w:color w:val="auto"/>
          <w:kern w:val="2"/>
          <w:sz w:val="30"/>
          <w:szCs w:val="30"/>
          <w:highlight w:val="none"/>
          <w:lang w:val="en-US" w:eastAsia="zh-CN" w:bidi="ar-SA"/>
        </w:rPr>
        <w:t>加快完善水生态环境治理体系，拉林河水生态环境保护重点任务，深入实施河湖长制、库长制。</w:t>
      </w:r>
      <w:r>
        <w:rPr>
          <w:rFonts w:hint="eastAsia" w:ascii="仿宋_GB2312" w:hAnsi="仿宋_GB2312" w:eastAsia="仿宋_GB2312" w:cs="仿宋_GB2312"/>
          <w:color w:val="000000"/>
          <w:kern w:val="2"/>
          <w:sz w:val="30"/>
          <w:szCs w:val="30"/>
          <w:highlight w:val="none"/>
          <w:lang w:val="en-US" w:eastAsia="zh-CN" w:bidi="ar-SA"/>
        </w:rPr>
        <w:t>开展流域入河排污口排查和整治，</w:t>
      </w:r>
      <w:r>
        <w:rPr>
          <w:rFonts w:hint="eastAsia" w:ascii="Times New Roman" w:hAnsi="Times New Roman" w:eastAsia="仿宋_GB2312" w:cs="Times New Roman"/>
          <w:color w:val="000000"/>
          <w:kern w:val="2"/>
          <w:sz w:val="30"/>
          <w:szCs w:val="30"/>
          <w:highlight w:val="none"/>
          <w:lang w:val="en-US" w:eastAsia="zh-CN" w:bidi="ar-SA"/>
        </w:rPr>
        <w:t>实施“一河一策”综合治理，</w:t>
      </w:r>
      <w:r>
        <w:rPr>
          <w:rFonts w:hint="eastAsia" w:ascii="仿宋_GB2312" w:hAnsi="仿宋_GB2312" w:eastAsia="仿宋_GB2312" w:cs="仿宋_GB2312"/>
          <w:color w:val="000000"/>
          <w:kern w:val="2"/>
          <w:sz w:val="30"/>
          <w:szCs w:val="30"/>
          <w:highlight w:val="none"/>
          <w:lang w:val="en-US" w:eastAsia="zh-CN" w:bidi="ar-SA"/>
        </w:rPr>
        <w:t>因地制宜开展水体内源污染治理和生态修复，增强河湖自净功能，</w:t>
      </w:r>
      <w:r>
        <w:rPr>
          <w:rFonts w:eastAsia="仿宋_GB2312"/>
          <w:b w:val="0"/>
          <w:bCs w:val="0"/>
          <w:color w:val="000000"/>
          <w:sz w:val="30"/>
          <w:szCs w:val="30"/>
          <w:highlight w:val="none"/>
        </w:rPr>
        <w:t>打好</w:t>
      </w:r>
      <w:r>
        <w:rPr>
          <w:rFonts w:hint="eastAsia" w:eastAsia="仿宋_GB2312"/>
          <w:b w:val="0"/>
          <w:bCs w:val="0"/>
          <w:color w:val="000000"/>
          <w:sz w:val="30"/>
          <w:szCs w:val="30"/>
          <w:highlight w:val="none"/>
          <w:lang w:eastAsia="zh-CN"/>
        </w:rPr>
        <w:t>重点流域</w:t>
      </w:r>
      <w:r>
        <w:rPr>
          <w:rFonts w:eastAsia="仿宋_GB2312"/>
          <w:b w:val="0"/>
          <w:bCs w:val="0"/>
          <w:color w:val="000000"/>
          <w:sz w:val="30"/>
          <w:szCs w:val="30"/>
          <w:highlight w:val="none"/>
        </w:rPr>
        <w:t>生态保护治理攻坚战</w:t>
      </w:r>
      <w:r>
        <w:rPr>
          <w:rFonts w:hint="eastAsia" w:ascii="Times New Roman" w:hAnsi="Times New Roman" w:eastAsia="仿宋_GB2312" w:cs="Times New Roman"/>
          <w:color w:val="000000"/>
          <w:kern w:val="2"/>
          <w:sz w:val="30"/>
          <w:szCs w:val="30"/>
          <w:highlight w:val="none"/>
          <w:lang w:val="en-US" w:eastAsia="zh-CN" w:bidi="ar-SA"/>
        </w:rPr>
        <w:t>。</w:t>
      </w:r>
      <w:r>
        <w:rPr>
          <w:rFonts w:hint="eastAsia" w:eastAsia="仿宋_GB2312"/>
          <w:b w:val="0"/>
          <w:bCs w:val="0"/>
          <w:color w:val="000000"/>
          <w:sz w:val="30"/>
          <w:szCs w:val="30"/>
          <w:highlight w:val="none"/>
          <w:lang w:val="en-US" w:eastAsia="zh-CN"/>
        </w:rPr>
        <w:t>到</w:t>
      </w:r>
      <w:r>
        <w:rPr>
          <w:rFonts w:hint="eastAsia" w:ascii="仿宋_GB2312" w:hAnsi="仿宋_GB2312" w:eastAsia="仿宋_GB2312" w:cs="仿宋_GB2312"/>
          <w:color w:val="000000"/>
          <w:kern w:val="2"/>
          <w:sz w:val="30"/>
          <w:szCs w:val="30"/>
          <w:highlight w:val="none"/>
          <w:lang w:val="en-US" w:eastAsia="zh-CN" w:bidi="ar-SA"/>
        </w:rPr>
        <w:t>2030年，完成松花江流域排污口整</w:t>
      </w:r>
      <w:r>
        <w:rPr>
          <w:rFonts w:hint="eastAsia" w:ascii="Times New Roman" w:hAnsi="Times New Roman" w:eastAsia="仿宋_GB2312" w:cs="Times New Roman"/>
          <w:color w:val="000000"/>
          <w:kern w:val="2"/>
          <w:sz w:val="30"/>
          <w:szCs w:val="30"/>
          <w:highlight w:val="none"/>
          <w:lang w:val="en-US" w:eastAsia="zh-CN" w:bidi="ar-SA"/>
        </w:rPr>
        <w:t>治。</w:t>
      </w:r>
    </w:p>
    <w:p w14:paraId="612C6DA8">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color w:val="000000"/>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全面巩固城市黑臭水体治理成效。</w:t>
      </w:r>
      <w:r>
        <w:rPr>
          <w:rFonts w:hint="eastAsia" w:ascii="Times New Roman" w:hAnsi="Times New Roman" w:eastAsia="仿宋_GB2312" w:cs="Times New Roman"/>
          <w:b w:val="0"/>
          <w:bCs w:val="0"/>
          <w:snapToGrid/>
          <w:color w:val="auto"/>
          <w:kern w:val="2"/>
          <w:sz w:val="30"/>
          <w:szCs w:val="30"/>
          <w:highlight w:val="none"/>
          <w:lang w:val="en-US" w:eastAsia="zh-CN" w:bidi="ar-SA"/>
        </w:rPr>
        <w:t>巩固深化工业和城镇水污染控制，落实牛家污水处理厂增容扩建、雨污分流项目，完成磨盘山污水处理厂提标改造，推进北部供水管网、泵站改造，全面完善污水治理等配套功能。</w:t>
      </w:r>
      <w:r>
        <w:rPr>
          <w:rFonts w:hint="eastAsia" w:ascii="Times New Roman" w:hAnsi="Times New Roman" w:eastAsia="仿宋_GB2312" w:cs="Times New Roman"/>
          <w:color w:val="000000"/>
          <w:kern w:val="2"/>
          <w:sz w:val="30"/>
          <w:szCs w:val="30"/>
          <w:highlight w:val="none"/>
          <w:lang w:val="en-US" w:eastAsia="zh-CN" w:bidi="ar-SA"/>
        </w:rPr>
        <w:t>分类推进省级及以上工业集聚区按规定建成污水集中处理设施并安装自动在线监</w:t>
      </w:r>
      <w:r>
        <w:rPr>
          <w:rFonts w:hint="eastAsia" w:ascii="仿宋_GB2312" w:hAnsi="仿宋_GB2312" w:eastAsia="仿宋_GB2312" w:cs="仿宋_GB2312"/>
          <w:color w:val="000000"/>
          <w:kern w:val="2"/>
          <w:sz w:val="30"/>
          <w:szCs w:val="30"/>
          <w:highlight w:val="none"/>
          <w:lang w:val="en-US" w:eastAsia="zh-CN" w:bidi="ar-SA"/>
        </w:rPr>
        <w:t>控设施。</w:t>
      </w:r>
      <w:r>
        <w:rPr>
          <w:rFonts w:hint="eastAsia" w:ascii="Times New Roman" w:hAnsi="Times New Roman" w:eastAsia="仿宋_GB2312" w:cs="Times New Roman"/>
          <w:b w:val="0"/>
          <w:bCs w:val="0"/>
          <w:snapToGrid/>
          <w:color w:val="auto"/>
          <w:kern w:val="2"/>
          <w:sz w:val="30"/>
          <w:szCs w:val="30"/>
          <w:highlight w:val="none"/>
          <w:lang w:val="en-US" w:eastAsia="zh-CN" w:bidi="ar-SA"/>
        </w:rPr>
        <w:t>实施五常镇污水管网改扩建等工程，</w:t>
      </w:r>
      <w:r>
        <w:rPr>
          <w:rFonts w:hint="eastAsia" w:ascii="仿宋_GB2312" w:hAnsi="仿宋_GB2312" w:eastAsia="仿宋_GB2312" w:cs="仿宋_GB2312"/>
          <w:color w:val="000000"/>
          <w:kern w:val="2"/>
          <w:sz w:val="30"/>
          <w:szCs w:val="30"/>
          <w:highlight w:val="none"/>
          <w:lang w:val="en-US" w:eastAsia="zh-CN" w:bidi="ar-SA"/>
        </w:rPr>
        <w:t>完善城镇雨污分流系统，</w:t>
      </w:r>
      <w:r>
        <w:rPr>
          <w:rFonts w:hint="eastAsia" w:ascii="Times New Roman" w:hAnsi="Times New Roman" w:eastAsia="仿宋_GB2312" w:cs="Times New Roman"/>
          <w:b w:val="0"/>
          <w:bCs w:val="0"/>
          <w:snapToGrid/>
          <w:color w:val="auto"/>
          <w:kern w:val="2"/>
          <w:sz w:val="30"/>
          <w:szCs w:val="30"/>
          <w:highlight w:val="none"/>
          <w:lang w:val="en-US" w:eastAsia="zh-CN" w:bidi="ar-SA"/>
        </w:rPr>
        <w:t>实现污水应收尽收，大幅度提升污水收集和处理能力，降低水污染风险隐患。</w:t>
      </w:r>
      <w:r>
        <w:rPr>
          <w:rFonts w:hint="eastAsia" w:ascii="Times New Roman" w:hAnsi="Times New Roman" w:eastAsia="仿宋_GB2312" w:cs="Times New Roman"/>
          <w:color w:val="000000"/>
          <w:kern w:val="2"/>
          <w:sz w:val="30"/>
          <w:szCs w:val="30"/>
          <w:highlight w:val="none"/>
          <w:lang w:val="en-US" w:eastAsia="zh-CN" w:bidi="ar-SA"/>
        </w:rPr>
        <w:t>加强农业农村和工业企业污染防治，有效控</w:t>
      </w:r>
      <w:r>
        <w:rPr>
          <w:rFonts w:hint="eastAsia" w:ascii="仿宋_GB2312" w:hAnsi="仿宋_GB2312" w:eastAsia="仿宋_GB2312" w:cs="仿宋_GB2312"/>
          <w:color w:val="000000"/>
          <w:kern w:val="2"/>
          <w:sz w:val="30"/>
          <w:szCs w:val="30"/>
          <w:highlight w:val="none"/>
          <w:lang w:val="en-US" w:eastAsia="zh-CN" w:bidi="ar-SA"/>
        </w:rPr>
        <w:t>制入河污染物排放。严防污水直排雨水管网。加强城镇管网设施建设改造，进一步提高污水收集率。到2025年，城市生活污水集中收集率达到70%，县级</w:t>
      </w:r>
      <w:r>
        <w:rPr>
          <w:rFonts w:hint="eastAsia" w:ascii="Times New Roman" w:hAnsi="Times New Roman" w:eastAsia="仿宋_GB2312" w:cs="Times New Roman"/>
          <w:color w:val="000000"/>
          <w:kern w:val="2"/>
          <w:sz w:val="30"/>
          <w:szCs w:val="30"/>
          <w:highlight w:val="none"/>
          <w:lang w:val="en-US" w:eastAsia="zh-CN" w:bidi="ar-SA"/>
        </w:rPr>
        <w:t>城市建成区基本消除黑臭水体。</w:t>
      </w:r>
    </w:p>
    <w:p w14:paraId="6D101C9B">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color w:val="000000"/>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有效提升城乡饮水安全保障水平。</w:t>
      </w:r>
      <w:r>
        <w:rPr>
          <w:rFonts w:hint="eastAsia" w:ascii="Times New Roman" w:hAnsi="Times New Roman" w:eastAsia="仿宋_GB2312" w:cs="Times New Roman"/>
          <w:color w:val="000000"/>
          <w:sz w:val="30"/>
          <w:szCs w:val="30"/>
          <w:highlight w:val="none"/>
        </w:rPr>
        <w:t>加快推进城市水源地规范化建设，持续开展乡镇级水源保护。</w:t>
      </w:r>
      <w:r>
        <w:rPr>
          <w:rFonts w:hint="eastAsia" w:ascii="Times New Roman" w:hAnsi="Times New Roman" w:eastAsia="仿宋_GB2312" w:cs="Times New Roman"/>
          <w:b w:val="0"/>
          <w:bCs w:val="0"/>
          <w:snapToGrid/>
          <w:color w:val="auto"/>
          <w:kern w:val="2"/>
          <w:sz w:val="30"/>
          <w:szCs w:val="30"/>
          <w:highlight w:val="none"/>
          <w:lang w:val="en-US" w:eastAsia="zh-CN" w:bidi="ar-SA"/>
        </w:rPr>
        <w:t>启动城区供水升级改造、供水管网改造、智慧水务升级改造等项目，提升城乡供排水能力。</w:t>
      </w:r>
      <w:r>
        <w:rPr>
          <w:rFonts w:hint="eastAsia" w:ascii="Times New Roman" w:hAnsi="Times New Roman" w:eastAsia="仿宋_GB2312" w:cs="Times New Roman"/>
          <w:color w:val="000000"/>
          <w:sz w:val="30"/>
          <w:szCs w:val="30"/>
          <w:highlight w:val="none"/>
        </w:rPr>
        <w:t>开展县级及以上生活饮用水水质监测，按季公开水质信息。实施乡镇级水源保护区环境问题排查整治。加强县级及以上城市供水水质监督管理。</w:t>
      </w:r>
      <w:r>
        <w:rPr>
          <w:rFonts w:hint="eastAsia" w:ascii="Times New Roman" w:hAnsi="Times New Roman" w:eastAsia="仿宋_GB2312" w:cs="Times New Roman"/>
          <w:color w:val="000000"/>
          <w:kern w:val="2"/>
          <w:sz w:val="30"/>
          <w:szCs w:val="30"/>
          <w:highlight w:val="none"/>
          <w:lang w:val="en-US" w:eastAsia="zh-CN" w:bidi="ar-SA"/>
        </w:rPr>
        <w:t>全面落实以水定城、以水定地、以水定人、以水定产要求，实施深度节水控水行动，严控高耗水行业发展。</w:t>
      </w:r>
      <w:r>
        <w:rPr>
          <w:rFonts w:hint="eastAsia" w:ascii="仿宋_GB2312" w:hAnsi="仿宋_GB2312" w:eastAsia="仿宋_GB2312" w:cs="仿宋_GB2312"/>
          <w:color w:val="000000"/>
          <w:kern w:val="2"/>
          <w:sz w:val="30"/>
          <w:szCs w:val="30"/>
          <w:highlight w:val="none"/>
          <w:lang w:val="en-US" w:eastAsia="zh-CN" w:bidi="ar-SA"/>
        </w:rPr>
        <w:t>落实生态流量管控要求，加强取水监管。</w:t>
      </w:r>
      <w:r>
        <w:rPr>
          <w:rFonts w:hint="eastAsia" w:ascii="仿宋_GB2312" w:hAnsi="仿宋_GB2312" w:eastAsia="仿宋_GB2312" w:cs="仿宋_GB2312"/>
          <w:color w:val="000000"/>
          <w:sz w:val="30"/>
          <w:szCs w:val="30"/>
          <w:highlight w:val="none"/>
        </w:rPr>
        <w:t>到2025年，全市县级市及以上城市集中式饮用水水源水质达到或优于Ⅲ</w:t>
      </w:r>
      <w:r>
        <w:rPr>
          <w:rFonts w:hint="eastAsia" w:ascii="Times New Roman" w:hAnsi="Times New Roman" w:eastAsia="仿宋_GB2312" w:cs="Times New Roman"/>
          <w:color w:val="000000"/>
          <w:sz w:val="30"/>
          <w:szCs w:val="30"/>
          <w:highlight w:val="none"/>
        </w:rPr>
        <w:t>类比例。</w:t>
      </w:r>
    </w:p>
    <w:p w14:paraId="411127F6">
      <w:pPr>
        <w:pStyle w:val="5"/>
        <w:pageBreakBefore w:val="0"/>
        <w:widowControl/>
        <w:numPr>
          <w:ilvl w:val="0"/>
          <w:numId w:val="9"/>
        </w:numPr>
        <w:kinsoku w:val="0"/>
        <w:wordWrap/>
        <w:overflowPunct/>
        <w:topLinePunct w:val="0"/>
        <w:autoSpaceDE w:val="0"/>
        <w:autoSpaceDN w:val="0"/>
        <w:bidi w:val="0"/>
        <w:adjustRightInd w:val="0"/>
        <w:snapToGrid w:val="0"/>
        <w:spacing w:before="0" w:beforeLines="0" w:after="0" w:afterLines="0" w:line="360" w:lineRule="auto"/>
        <w:ind w:left="0" w:leftChars="0" w:firstLine="0" w:firstLineChars="0"/>
        <w:textAlignment w:val="baseline"/>
        <w:rPr>
          <w:rFonts w:hint="default"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扎实推进土壤污染防治风险管控</w:t>
      </w:r>
    </w:p>
    <w:p w14:paraId="4919DA4C">
      <w:pPr>
        <w:keepNext w:val="0"/>
        <w:keepLines w:val="0"/>
        <w:pageBreakBefore w:val="0"/>
        <w:widowControl/>
        <w:kinsoku/>
        <w:wordWrap/>
        <w:overflowPunct/>
        <w:topLinePunct w:val="0"/>
        <w:autoSpaceDE/>
        <w:autoSpaceDN/>
        <w:bidi w:val="0"/>
        <w:adjustRightInd/>
        <w:snapToGrid/>
        <w:spacing w:line="360" w:lineRule="auto"/>
        <w:ind w:left="0" w:leftChars="0" w:firstLine="602" w:firstLineChars="200"/>
        <w:jc w:val="both"/>
        <w:textAlignment w:val="auto"/>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b/>
          <w:bCs/>
          <w:color w:val="000000"/>
          <w:sz w:val="30"/>
          <w:szCs w:val="30"/>
          <w:highlight w:val="none"/>
        </w:rPr>
        <w:t>加强农用地污染治理。</w:t>
      </w:r>
      <w:r>
        <w:rPr>
          <w:rFonts w:hint="eastAsia" w:ascii="Times New Roman" w:hAnsi="Times New Roman" w:eastAsia="仿宋_GB2312" w:cs="Times New Roman"/>
          <w:b w:val="0"/>
          <w:bCs w:val="0"/>
          <w:snapToGrid/>
          <w:color w:val="auto"/>
          <w:kern w:val="2"/>
          <w:sz w:val="30"/>
          <w:szCs w:val="30"/>
          <w:highlight w:val="none"/>
          <w:lang w:val="en-US" w:eastAsia="zh-CN" w:bidi="ar-SA"/>
        </w:rPr>
        <w:t>全面开展土壤污染防治，深入推进农业面源污染治理，加强土壤污染风险管控和修复，坚决打击破坏耕地行为，全力守护五常“黑土地”。</w:t>
      </w:r>
      <w:r>
        <w:rPr>
          <w:rFonts w:eastAsia="仿宋_GB2312"/>
          <w:color w:val="000000"/>
          <w:sz w:val="30"/>
          <w:szCs w:val="30"/>
          <w:highlight w:val="none"/>
        </w:rPr>
        <w:t>以在产企业和矿区历史遗留固体废物为重点，围绕耕地周边开展涉镉等重点重金属行业企业排查。严格落实粮食收购和销售出库质量安全检验制度</w:t>
      </w:r>
      <w:r>
        <w:rPr>
          <w:rFonts w:hint="eastAsia" w:eastAsia="仿宋_GB2312"/>
          <w:color w:val="000000"/>
          <w:sz w:val="30"/>
          <w:szCs w:val="30"/>
          <w:highlight w:val="none"/>
        </w:rPr>
        <w:t>和追溯制度</w:t>
      </w:r>
      <w:r>
        <w:rPr>
          <w:rFonts w:eastAsia="仿宋_GB2312"/>
          <w:color w:val="000000"/>
          <w:sz w:val="30"/>
          <w:szCs w:val="30"/>
          <w:highlight w:val="none"/>
        </w:rPr>
        <w:t>。持续推进农用</w:t>
      </w:r>
      <w:r>
        <w:rPr>
          <w:rFonts w:hint="eastAsia" w:ascii="仿宋_GB2312" w:hAnsi="仿宋_GB2312" w:eastAsia="仿宋_GB2312" w:cs="仿宋_GB2312"/>
          <w:color w:val="000000"/>
          <w:sz w:val="30"/>
          <w:szCs w:val="30"/>
          <w:highlight w:val="none"/>
        </w:rPr>
        <w:t>地分类管理，探索开展受污染耕地溯源，因地制宜制定实施安全利用方案，将</w:t>
      </w:r>
      <w:r>
        <w:rPr>
          <w:rFonts w:hint="eastAsia" w:ascii="仿宋_GB2312" w:hAnsi="仿宋_GB2312" w:eastAsia="仿宋_GB2312" w:cs="仿宋_GB2312"/>
          <w:color w:val="000000"/>
          <w:sz w:val="30"/>
          <w:szCs w:val="30"/>
          <w:highlight w:val="none"/>
          <w:lang w:eastAsia="zh-CN"/>
        </w:rPr>
        <w:t>15315.09</w:t>
      </w:r>
      <w:r>
        <w:rPr>
          <w:rFonts w:hint="eastAsia" w:ascii="仿宋_GB2312" w:hAnsi="仿宋_GB2312" w:eastAsia="仿宋_GB2312" w:cs="仿宋_GB2312"/>
          <w:color w:val="000000"/>
          <w:sz w:val="30"/>
          <w:szCs w:val="30"/>
          <w:highlight w:val="none"/>
        </w:rPr>
        <w:t>亩安全利用类全部落实安全利</w:t>
      </w:r>
      <w:r>
        <w:rPr>
          <w:rFonts w:hint="eastAsia" w:ascii="仿宋_GB2312" w:hAnsi="仿宋_GB2312" w:eastAsia="仿宋_GB2312" w:cs="仿宋_GB2312"/>
          <w:color w:val="000000"/>
          <w:sz w:val="30"/>
          <w:szCs w:val="30"/>
          <w:highlight w:val="none"/>
          <w:lang w:eastAsia="zh-CN"/>
        </w:rPr>
        <w:t>用</w:t>
      </w:r>
      <w:r>
        <w:rPr>
          <w:rFonts w:hint="eastAsia" w:ascii="仿宋_GB2312" w:hAnsi="仿宋_GB2312" w:eastAsia="仿宋_GB2312" w:cs="仿宋_GB2312"/>
          <w:color w:val="000000"/>
          <w:sz w:val="30"/>
          <w:szCs w:val="30"/>
          <w:highlight w:val="none"/>
        </w:rPr>
        <w:t>措施。到2025年，受污染耕地安全利用率保持100</w:t>
      </w:r>
      <w:r>
        <w:rPr>
          <w:rFonts w:hint="eastAsia" w:ascii="仿宋_GB2312" w:hAnsi="仿宋_GB2312" w:eastAsia="仿宋_GB2312" w:cs="仿宋_GB2312"/>
          <w:color w:val="000000"/>
          <w:sz w:val="30"/>
          <w:szCs w:val="30"/>
          <w:highlight w:val="none"/>
          <w:lang w:val="en-US" w:eastAsia="zh-CN"/>
        </w:rPr>
        <w:t>%</w:t>
      </w:r>
      <w:r>
        <w:rPr>
          <w:rFonts w:hint="eastAsia" w:ascii="仿宋_GB2312" w:hAnsi="仿宋_GB2312" w:eastAsia="仿宋_GB2312" w:cs="仿宋_GB2312"/>
          <w:color w:val="000000"/>
          <w:sz w:val="30"/>
          <w:szCs w:val="30"/>
          <w:highlight w:val="none"/>
        </w:rPr>
        <w:t>。</w:t>
      </w:r>
    </w:p>
    <w:p w14:paraId="180D1E1B">
      <w:pPr>
        <w:keepNext w:val="0"/>
        <w:keepLines w:val="0"/>
        <w:pageBreakBefore w:val="0"/>
        <w:widowControl/>
        <w:kinsoku/>
        <w:wordWrap/>
        <w:overflowPunct/>
        <w:topLinePunct w:val="0"/>
        <w:autoSpaceDE/>
        <w:autoSpaceDN/>
        <w:bidi w:val="0"/>
        <w:adjustRightInd/>
        <w:snapToGrid/>
        <w:spacing w:line="360" w:lineRule="auto"/>
        <w:ind w:left="0" w:leftChars="0" w:firstLine="602" w:firstLineChars="200"/>
        <w:jc w:val="both"/>
        <w:textAlignment w:val="auto"/>
        <w:rPr>
          <w:strike/>
          <w:color w:val="000000"/>
          <w:sz w:val="30"/>
          <w:szCs w:val="30"/>
          <w:highlight w:val="none"/>
        </w:rPr>
      </w:pPr>
      <w:r>
        <w:rPr>
          <w:rFonts w:eastAsia="仿宋_GB2312"/>
          <w:b/>
          <w:bCs/>
          <w:color w:val="000000"/>
          <w:sz w:val="30"/>
          <w:szCs w:val="30"/>
          <w:highlight w:val="none"/>
        </w:rPr>
        <w:t>强化建设用地土壤管控。</w:t>
      </w:r>
      <w:r>
        <w:rPr>
          <w:rFonts w:hint="eastAsia" w:ascii="Times New Roman" w:hAnsi="Times New Roman" w:eastAsia="仿宋_GB2312" w:cs="Times New Roman"/>
          <w:b w:val="0"/>
          <w:bCs w:val="0"/>
          <w:snapToGrid/>
          <w:color w:val="auto"/>
          <w:kern w:val="2"/>
          <w:sz w:val="30"/>
          <w:szCs w:val="30"/>
          <w:highlight w:val="none"/>
          <w:lang w:val="en-US" w:eastAsia="zh-CN" w:bidi="ar-SA"/>
        </w:rPr>
        <w:t>加强土壤污染源头防控，不断夯实土壤环境管理体系。</w:t>
      </w:r>
      <w:r>
        <w:rPr>
          <w:rFonts w:eastAsia="仿宋_GB2312"/>
          <w:color w:val="000000"/>
          <w:sz w:val="30"/>
          <w:szCs w:val="30"/>
          <w:highlight w:val="none"/>
        </w:rPr>
        <w:t>从严管控农药、化工等行业的重度污染地块规划用途，确需开发利用的，鼓励用于拓展生态空间</w:t>
      </w:r>
      <w:r>
        <w:rPr>
          <w:rFonts w:hint="eastAsia" w:eastAsia="仿宋_GB2312"/>
          <w:color w:val="000000"/>
          <w:sz w:val="30"/>
          <w:szCs w:val="30"/>
          <w:highlight w:val="none"/>
        </w:rPr>
        <w:t>。</w:t>
      </w:r>
      <w:r>
        <w:rPr>
          <w:rFonts w:eastAsia="仿宋_GB2312"/>
          <w:color w:val="000000"/>
          <w:sz w:val="30"/>
          <w:szCs w:val="30"/>
          <w:highlight w:val="none"/>
        </w:rPr>
        <w:t>以用途变更为</w:t>
      </w:r>
      <w:r>
        <w:rPr>
          <w:rFonts w:hint="eastAsia" w:eastAsia="仿宋_GB2312"/>
          <w:color w:val="000000"/>
          <w:sz w:val="30"/>
          <w:szCs w:val="30"/>
          <w:highlight w:val="none"/>
          <w:lang w:eastAsia="zh-CN"/>
        </w:rPr>
        <w:t>“</w:t>
      </w:r>
      <w:r>
        <w:rPr>
          <w:rFonts w:eastAsia="仿宋_GB2312"/>
          <w:color w:val="000000"/>
          <w:sz w:val="30"/>
          <w:szCs w:val="30"/>
          <w:highlight w:val="none"/>
        </w:rPr>
        <w:t>一住两公</w:t>
      </w:r>
      <w:r>
        <w:rPr>
          <w:rFonts w:hint="eastAsia" w:eastAsia="仿宋_GB2312"/>
          <w:color w:val="000000"/>
          <w:sz w:val="30"/>
          <w:szCs w:val="30"/>
          <w:highlight w:val="none"/>
          <w:lang w:eastAsia="zh-CN"/>
        </w:rPr>
        <w:t>”</w:t>
      </w:r>
      <w:r>
        <w:rPr>
          <w:rFonts w:eastAsia="仿宋_GB2312"/>
          <w:color w:val="000000"/>
          <w:sz w:val="30"/>
          <w:szCs w:val="30"/>
          <w:highlight w:val="none"/>
        </w:rPr>
        <w:t>地块为重点，依法开展土壤污染状况调查和风险评估</w:t>
      </w:r>
      <w:r>
        <w:rPr>
          <w:rFonts w:hint="eastAsia" w:eastAsia="仿宋_GB2312"/>
          <w:color w:val="000000"/>
          <w:sz w:val="30"/>
          <w:szCs w:val="30"/>
          <w:highlight w:val="none"/>
          <w:lang w:eastAsia="zh-CN"/>
        </w:rPr>
        <w:t>。到</w:t>
      </w:r>
      <w:r>
        <w:rPr>
          <w:rFonts w:hint="eastAsia" w:ascii="仿宋_GB2312" w:hAnsi="仿宋_GB2312" w:eastAsia="仿宋_GB2312" w:cs="仿宋_GB2312"/>
          <w:color w:val="000000"/>
          <w:sz w:val="30"/>
          <w:szCs w:val="30"/>
          <w:highlight w:val="none"/>
          <w:lang w:val="en-US" w:eastAsia="zh-CN"/>
        </w:rPr>
        <w:t>2025年，完成全部重点建设用地地块的土壤污染状况调查</w:t>
      </w:r>
      <w:r>
        <w:rPr>
          <w:rFonts w:hint="eastAsia" w:ascii="仿宋_GB2312" w:hAnsi="仿宋_GB2312" w:eastAsia="仿宋_GB2312" w:cs="仿宋_GB2312"/>
          <w:color w:val="000000"/>
          <w:sz w:val="30"/>
          <w:szCs w:val="30"/>
          <w:highlight w:val="none"/>
        </w:rPr>
        <w:t>。</w:t>
      </w:r>
      <w:r>
        <w:rPr>
          <w:rFonts w:hint="eastAsia" w:ascii="仿宋_GB2312" w:hAnsi="仿宋_GB2312" w:eastAsia="仿宋_GB2312" w:cs="仿宋_GB2312"/>
          <w:color w:val="000000"/>
          <w:sz w:val="30"/>
          <w:szCs w:val="30"/>
          <w:highlight w:val="none"/>
          <w:lang w:eastAsia="zh-CN"/>
        </w:rPr>
        <w:t>动态调整</w:t>
      </w:r>
      <w:r>
        <w:rPr>
          <w:rFonts w:hint="eastAsia" w:ascii="仿宋_GB2312" w:hAnsi="仿宋_GB2312" w:eastAsia="仿宋_GB2312" w:cs="仿宋_GB2312"/>
          <w:color w:val="000000"/>
          <w:sz w:val="30"/>
          <w:szCs w:val="30"/>
          <w:highlight w:val="none"/>
        </w:rPr>
        <w:t>建设用</w:t>
      </w:r>
      <w:r>
        <w:rPr>
          <w:rFonts w:eastAsia="仿宋_GB2312"/>
          <w:color w:val="000000"/>
          <w:sz w:val="30"/>
          <w:szCs w:val="30"/>
          <w:highlight w:val="none"/>
        </w:rPr>
        <w:t>地土壤污染风险管控和修复名录</w:t>
      </w:r>
      <w:r>
        <w:rPr>
          <w:rFonts w:hint="eastAsia" w:eastAsia="仿宋_GB2312"/>
          <w:color w:val="000000"/>
          <w:sz w:val="30"/>
          <w:szCs w:val="30"/>
          <w:highlight w:val="none"/>
          <w:lang w:val="en-US" w:eastAsia="zh-CN"/>
        </w:rPr>
        <w:t>，严格名录内</w:t>
      </w:r>
      <w:r>
        <w:rPr>
          <w:rFonts w:eastAsia="仿宋_GB2312"/>
          <w:color w:val="000000"/>
          <w:sz w:val="30"/>
          <w:szCs w:val="30"/>
          <w:highlight w:val="none"/>
        </w:rPr>
        <w:t>地块的准入管理</w:t>
      </w:r>
      <w:r>
        <w:rPr>
          <w:rFonts w:hint="eastAsia" w:eastAsia="仿宋_GB2312"/>
          <w:color w:val="000000"/>
          <w:sz w:val="30"/>
          <w:szCs w:val="30"/>
          <w:highlight w:val="none"/>
        </w:rPr>
        <w:t>，</w:t>
      </w:r>
      <w:r>
        <w:rPr>
          <w:rFonts w:eastAsia="仿宋_GB2312"/>
          <w:color w:val="000000"/>
          <w:sz w:val="30"/>
          <w:szCs w:val="30"/>
          <w:highlight w:val="none"/>
        </w:rPr>
        <w:t>未依法完成土壤污染状况调查和风险评估的地块，不得开工建设与风险管控和修复无关的项目</w:t>
      </w:r>
      <w:r>
        <w:rPr>
          <w:rFonts w:hint="eastAsia" w:eastAsia="仿宋_GB2312"/>
          <w:color w:val="000000"/>
          <w:sz w:val="30"/>
          <w:szCs w:val="30"/>
          <w:highlight w:val="none"/>
        </w:rPr>
        <w:t>，</w:t>
      </w:r>
      <w:r>
        <w:rPr>
          <w:rFonts w:eastAsia="仿宋_GB2312"/>
          <w:color w:val="000000"/>
          <w:sz w:val="30"/>
          <w:szCs w:val="30"/>
          <w:highlight w:val="none"/>
        </w:rPr>
        <w:t>确保重点建设用地安全利用得到有效保障。</w:t>
      </w:r>
    </w:p>
    <w:p w14:paraId="6A791A0E">
      <w:pPr>
        <w:keepNext w:val="0"/>
        <w:keepLines w:val="0"/>
        <w:pageBreakBefore w:val="0"/>
        <w:widowControl/>
        <w:kinsoku/>
        <w:wordWrap/>
        <w:overflowPunct/>
        <w:topLinePunct w:val="0"/>
        <w:autoSpaceDE/>
        <w:autoSpaceDN/>
        <w:bidi w:val="0"/>
        <w:adjustRightInd/>
        <w:snapToGrid/>
        <w:spacing w:line="360" w:lineRule="auto"/>
        <w:ind w:left="0" w:leftChars="0" w:firstLine="602" w:firstLineChars="200"/>
        <w:jc w:val="both"/>
        <w:textAlignment w:val="auto"/>
        <w:rPr>
          <w:color w:val="000000"/>
          <w:sz w:val="30"/>
          <w:szCs w:val="30"/>
          <w:highlight w:val="none"/>
        </w:rPr>
      </w:pPr>
      <w:r>
        <w:rPr>
          <w:rFonts w:eastAsia="仿宋_GB2312"/>
          <w:b/>
          <w:bCs/>
          <w:color w:val="000000"/>
          <w:sz w:val="30"/>
          <w:szCs w:val="30"/>
          <w:highlight w:val="none"/>
        </w:rPr>
        <w:t>实施地下水生态环境分区分级风险管控。</w:t>
      </w:r>
      <w:r>
        <w:rPr>
          <w:rFonts w:ascii="Times New Roman" w:hAnsi="Times New Roman" w:eastAsia="仿宋_GB2312" w:cs="Times New Roman"/>
          <w:color w:val="000000"/>
          <w:sz w:val="30"/>
          <w:szCs w:val="30"/>
          <w:highlight w:val="none"/>
        </w:rPr>
        <w:t>持续</w:t>
      </w:r>
      <w:r>
        <w:rPr>
          <w:rFonts w:hint="eastAsia" w:ascii="仿宋_GB2312" w:hAnsi="仿宋_GB2312" w:eastAsia="仿宋_GB2312" w:cs="仿宋_GB2312"/>
          <w:color w:val="000000"/>
          <w:sz w:val="30"/>
          <w:szCs w:val="30"/>
          <w:highlight w:val="none"/>
        </w:rPr>
        <w:t>开展</w:t>
      </w:r>
      <w:r>
        <w:rPr>
          <w:rFonts w:hint="eastAsia" w:ascii="仿宋_GB2312" w:hAnsi="仿宋_GB2312" w:eastAsia="仿宋_GB2312" w:cs="仿宋_GB2312"/>
          <w:color w:val="000000"/>
          <w:sz w:val="30"/>
          <w:szCs w:val="30"/>
          <w:highlight w:val="none"/>
          <w:lang w:eastAsia="zh-CN"/>
        </w:rPr>
        <w:t>化工产业为主导的工业集聚区</w:t>
      </w:r>
      <w:r>
        <w:rPr>
          <w:rFonts w:hint="eastAsia" w:ascii="仿宋_GB2312" w:hAnsi="仿宋_GB2312" w:eastAsia="仿宋_GB2312" w:cs="仿宋_GB2312"/>
          <w:color w:val="000000"/>
          <w:sz w:val="30"/>
          <w:szCs w:val="30"/>
          <w:highlight w:val="none"/>
        </w:rPr>
        <w:t>、垃圾填埋场等重点污染源地下水环境状况调查评估，初步摸清地下水环境质量状况，</w:t>
      </w:r>
      <w:r>
        <w:rPr>
          <w:rFonts w:hint="eastAsia" w:ascii="仿宋_GB2312" w:hAnsi="仿宋_GB2312" w:eastAsia="仿宋_GB2312" w:cs="仿宋_GB2312"/>
          <w:color w:val="000000"/>
          <w:sz w:val="30"/>
          <w:szCs w:val="30"/>
          <w:highlight w:val="none"/>
          <w:lang w:eastAsia="zh-CN"/>
        </w:rPr>
        <w:t>到</w:t>
      </w:r>
      <w:r>
        <w:rPr>
          <w:rFonts w:hint="eastAsia" w:ascii="仿宋_GB2312" w:hAnsi="仿宋_GB2312" w:eastAsia="仿宋_GB2312" w:cs="仿宋_GB2312"/>
          <w:color w:val="000000"/>
          <w:sz w:val="30"/>
          <w:szCs w:val="30"/>
          <w:highlight w:val="none"/>
          <w:lang w:val="en-US" w:eastAsia="zh-CN"/>
        </w:rPr>
        <w:t>2025年，</w:t>
      </w:r>
      <w:r>
        <w:rPr>
          <w:rFonts w:hint="eastAsia" w:ascii="仿宋_GB2312" w:hAnsi="仿宋_GB2312" w:eastAsia="仿宋_GB2312" w:cs="仿宋_GB2312"/>
          <w:color w:val="000000"/>
          <w:sz w:val="30"/>
          <w:szCs w:val="30"/>
          <w:highlight w:val="none"/>
        </w:rPr>
        <w:t>确保全市地下水国控区域点位Ⅴ类水比例</w:t>
      </w:r>
      <w:r>
        <w:rPr>
          <w:rFonts w:hint="eastAsia" w:ascii="仿宋_GB2312" w:hAnsi="仿宋_GB2312" w:eastAsia="仿宋_GB2312" w:cs="仿宋_GB2312"/>
          <w:color w:val="000000"/>
          <w:sz w:val="30"/>
          <w:szCs w:val="30"/>
          <w:highlight w:val="none"/>
          <w:lang w:eastAsia="zh-CN"/>
        </w:rPr>
        <w:t>控制在</w:t>
      </w:r>
      <w:r>
        <w:rPr>
          <w:rFonts w:hint="eastAsia" w:ascii="仿宋_GB2312" w:hAnsi="仿宋_GB2312" w:eastAsia="仿宋_GB2312" w:cs="仿宋_GB2312"/>
          <w:color w:val="000000"/>
          <w:sz w:val="30"/>
          <w:szCs w:val="30"/>
          <w:highlight w:val="none"/>
          <w:lang w:val="en-US" w:eastAsia="zh-CN"/>
        </w:rPr>
        <w:t>56.4%</w:t>
      </w:r>
      <w:r>
        <w:rPr>
          <w:rFonts w:hint="eastAsia" w:ascii="仿宋_GB2312" w:hAnsi="仿宋_GB2312" w:eastAsia="仿宋_GB2312" w:cs="仿宋_GB2312"/>
          <w:color w:val="000000"/>
          <w:sz w:val="30"/>
          <w:szCs w:val="30"/>
          <w:highlight w:val="none"/>
        </w:rPr>
        <w:t>。积极推进县级市浅层地下水型饮用水重要水源补给区划定，强化保护措施。推动开展地下水污染防治重点区划定，实施地下水环境风险分区管理、分级防控，确保全市地下水国控“双源”考核点位水质总体保持稳定</w:t>
      </w:r>
      <w:r>
        <w:rPr>
          <w:rFonts w:eastAsia="仿宋_GB2312"/>
          <w:color w:val="000000"/>
          <w:sz w:val="30"/>
          <w:szCs w:val="30"/>
          <w:highlight w:val="none"/>
        </w:rPr>
        <w:t>。统筹推进土壤和地下水污染重点监管单位实施水土环境风险协同防控。</w:t>
      </w:r>
    </w:p>
    <w:p w14:paraId="6168CC19">
      <w:pPr>
        <w:pStyle w:val="4"/>
        <w:keepNext w:val="0"/>
        <w:keepLines w:val="0"/>
        <w:pageBreakBefore w:val="0"/>
        <w:widowControl w:val="0"/>
        <w:numPr>
          <w:ilvl w:val="0"/>
          <w:numId w:val="8"/>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66" w:name="_Toc16420"/>
      <w:bookmarkStart w:id="67" w:name="_Toc7342"/>
      <w:r>
        <w:rPr>
          <w:rFonts w:hint="eastAsia" w:ascii="仿宋_GB2312" w:hAnsi="仿宋_GB2312" w:eastAsia="仿宋_GB2312" w:cs="仿宋_GB2312"/>
          <w:snapToGrid/>
          <w:kern w:val="2"/>
          <w:sz w:val="30"/>
          <w:szCs w:val="30"/>
          <w:highlight w:val="none"/>
          <w:lang w:val="en-US" w:eastAsia="zh-CN"/>
        </w:rPr>
        <w:t>全面巩固城乡环境治理成效</w:t>
      </w:r>
      <w:bookmarkEnd w:id="66"/>
      <w:bookmarkEnd w:id="67"/>
    </w:p>
    <w:p w14:paraId="132B3278">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color w:val="000000"/>
          <w:sz w:val="30"/>
          <w:szCs w:val="30"/>
          <w:highlight w:val="none"/>
          <w:lang w:val="en-US" w:eastAsia="zh-CN"/>
        </w:rPr>
      </w:pPr>
      <w:r>
        <w:rPr>
          <w:rFonts w:hint="eastAsia" w:ascii="仿宋_GB2312" w:hAnsi="仿宋_GB2312" w:eastAsia="仿宋_GB2312" w:cs="仿宋_GB2312"/>
          <w:b/>
          <w:bCs/>
          <w:color w:val="000000"/>
          <w:sz w:val="30"/>
          <w:szCs w:val="30"/>
          <w:highlight w:val="none"/>
          <w:lang w:val="en-US" w:eastAsia="zh-CN"/>
        </w:rPr>
        <w:t>持续改善农村生态环境。</w:t>
      </w:r>
      <w:r>
        <w:rPr>
          <w:rFonts w:hint="eastAsia" w:ascii="Times New Roman" w:hAnsi="Times New Roman" w:eastAsia="仿宋_GB2312" w:cs="Times New Roman"/>
          <w:b w:val="0"/>
          <w:bCs w:val="0"/>
          <w:snapToGrid/>
          <w:color w:val="auto"/>
          <w:kern w:val="2"/>
          <w:sz w:val="30"/>
          <w:szCs w:val="30"/>
          <w:highlight w:val="none"/>
          <w:lang w:val="en-US" w:eastAsia="zh-CN" w:bidi="ar-SA"/>
        </w:rPr>
        <w:t>深入实施农村面貌提升工程，健全完善常态整治、长效治理、高效管护的农村人居环境综合整治机制，落实厕所改造、垃圾治理、村屯绿化项目，持续</w:t>
      </w:r>
      <w:r>
        <w:rPr>
          <w:rFonts w:hint="eastAsia" w:ascii="仿宋_GB2312" w:hAnsi="仿宋_GB2312" w:eastAsia="仿宋_GB2312" w:cs="仿宋_GB2312"/>
          <w:b w:val="0"/>
          <w:bCs w:val="0"/>
          <w:color w:val="000000"/>
          <w:sz w:val="30"/>
          <w:szCs w:val="30"/>
          <w:highlight w:val="none"/>
        </w:rPr>
        <w:t>打好农业农村污染治理攻坚战</w:t>
      </w:r>
      <w:r>
        <w:rPr>
          <w:rFonts w:hint="eastAsia" w:ascii="Times New Roman" w:hAnsi="Times New Roman" w:eastAsia="仿宋_GB2312" w:cs="Times New Roman"/>
          <w:b w:val="0"/>
          <w:bCs w:val="0"/>
          <w:snapToGrid/>
          <w:color w:val="auto"/>
          <w:kern w:val="2"/>
          <w:sz w:val="30"/>
          <w:szCs w:val="30"/>
          <w:highlight w:val="none"/>
          <w:lang w:val="en-US" w:eastAsia="zh-CN" w:bidi="ar-SA"/>
        </w:rPr>
        <w:t>。</w:t>
      </w:r>
      <w:r>
        <w:rPr>
          <w:rFonts w:hint="eastAsia" w:ascii="Times New Roman" w:hAnsi="Times New Roman" w:eastAsia="仿宋_GB2312" w:cs="Times New Roman"/>
          <w:color w:val="000000"/>
          <w:sz w:val="30"/>
          <w:szCs w:val="30"/>
          <w:highlight w:val="none"/>
        </w:rPr>
        <w:t>充分尊重农民意愿，因地制宜推进农村改厕工作。梯次推进农村生活污水治理，优先治理“六类”村庄生活污水，推进城镇管网向农村延伸，加强厕所粪污、生活污水无害化处理</w:t>
      </w:r>
      <w:r>
        <w:rPr>
          <w:rFonts w:hint="eastAsia" w:ascii="仿宋_GB2312" w:hAnsi="仿宋_GB2312" w:eastAsia="仿宋_GB2312" w:cs="仿宋_GB2312"/>
          <w:color w:val="000000"/>
          <w:sz w:val="30"/>
          <w:szCs w:val="30"/>
          <w:highlight w:val="none"/>
        </w:rPr>
        <w:t>和资源化利用，</w:t>
      </w:r>
      <w:r>
        <w:rPr>
          <w:rFonts w:hint="eastAsia" w:ascii="仿宋_GB2312" w:hAnsi="仿宋_GB2312" w:eastAsia="仿宋_GB2312" w:cs="仿宋_GB2312"/>
          <w:color w:val="000000"/>
          <w:sz w:val="30"/>
          <w:szCs w:val="30"/>
          <w:highlight w:val="none"/>
          <w:lang w:eastAsia="zh-CN"/>
        </w:rPr>
        <w:t>重点推进农村黑臭水体治理。</w:t>
      </w:r>
      <w:r>
        <w:rPr>
          <w:rFonts w:hint="eastAsia" w:ascii="仿宋_GB2312" w:hAnsi="仿宋_GB2312" w:eastAsia="仿宋_GB2312" w:cs="仿宋_GB2312"/>
          <w:color w:val="000000"/>
          <w:sz w:val="30"/>
          <w:szCs w:val="30"/>
          <w:highlight w:val="none"/>
        </w:rPr>
        <w:t>到2025年，农村生活污水治理率达到40%</w:t>
      </w:r>
      <w:r>
        <w:rPr>
          <w:rFonts w:hint="eastAsia" w:ascii="仿宋_GB2312" w:hAnsi="仿宋_GB2312" w:eastAsia="仿宋_GB2312" w:cs="仿宋_GB2312"/>
          <w:color w:val="000000"/>
          <w:sz w:val="30"/>
          <w:szCs w:val="30"/>
          <w:highlight w:val="none"/>
          <w:lang w:eastAsia="zh-CN"/>
        </w:rPr>
        <w:t>，</w:t>
      </w:r>
      <w:r>
        <w:rPr>
          <w:rFonts w:hint="eastAsia" w:ascii="Times New Roman" w:hAnsi="Times New Roman" w:eastAsia="仿宋_GB2312" w:cs="Times New Roman"/>
          <w:color w:val="000000"/>
          <w:sz w:val="30"/>
          <w:szCs w:val="30"/>
          <w:highlight w:val="none"/>
          <w:lang w:val="en-US" w:eastAsia="zh-CN"/>
        </w:rPr>
        <w:t>完成农村黑臭水体排查治理任务。</w:t>
      </w:r>
    </w:p>
    <w:p w14:paraId="6678C781">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color w:val="000000"/>
          <w:sz w:val="30"/>
          <w:szCs w:val="30"/>
          <w:highlight w:val="none"/>
          <w:lang w:eastAsia="zh-CN"/>
        </w:rPr>
      </w:pPr>
      <w:r>
        <w:rPr>
          <w:rFonts w:hint="eastAsia" w:ascii="Times New Roman" w:hAnsi="Times New Roman" w:eastAsia="仿宋_GB2312" w:cs="Times New Roman"/>
          <w:b/>
          <w:bCs/>
          <w:color w:val="000000"/>
          <w:sz w:val="30"/>
          <w:szCs w:val="30"/>
          <w:highlight w:val="none"/>
        </w:rPr>
        <w:t>深化农业面源污染防治</w:t>
      </w:r>
      <w:r>
        <w:rPr>
          <w:rFonts w:hint="eastAsia" w:ascii="Times New Roman" w:hAnsi="Times New Roman" w:eastAsia="仿宋_GB2312" w:cs="Times New Roman"/>
          <w:b/>
          <w:bCs/>
          <w:color w:val="000000"/>
          <w:sz w:val="30"/>
          <w:szCs w:val="30"/>
          <w:highlight w:val="none"/>
          <w:lang w:eastAsia="zh-CN"/>
        </w:rPr>
        <w:t>。</w:t>
      </w:r>
      <w:r>
        <w:rPr>
          <w:rFonts w:hint="eastAsia" w:ascii="Times New Roman" w:hAnsi="Times New Roman" w:eastAsia="仿宋_GB2312" w:cs="Times New Roman"/>
          <w:color w:val="000000"/>
          <w:sz w:val="30"/>
          <w:szCs w:val="30"/>
          <w:highlight w:val="none"/>
        </w:rPr>
        <w:t>推进畜禽养殖与农业面源污染综合防治，推动畜禽养殖废弃物实现资源化利用。加强农排渠水污染治理，采取农业灌溉系统改造、生态拦截沟建设、污水净化塘等措施，减少农田退水污染负荷，严控农田排水直接进入河道污染河流水质。在水产养殖主产区探索养殖尾水治理模式。实施农药化肥减量增效行动和农膜回收行动。加强种养结合，</w:t>
      </w:r>
      <w:r>
        <w:rPr>
          <w:rFonts w:hint="eastAsia" w:ascii="Times New Roman" w:hAnsi="Times New Roman" w:eastAsia="仿宋_GB2312" w:cs="Times New Roman"/>
          <w:color w:val="000000"/>
          <w:sz w:val="30"/>
          <w:szCs w:val="30"/>
          <w:highlight w:val="none"/>
          <w:lang w:eastAsia="zh-CN"/>
        </w:rPr>
        <w:t>大力</w:t>
      </w:r>
      <w:r>
        <w:rPr>
          <w:rFonts w:hint="eastAsia" w:ascii="Times New Roman" w:hAnsi="Times New Roman" w:eastAsia="仿宋_GB2312" w:cs="Times New Roman"/>
          <w:color w:val="000000"/>
          <w:sz w:val="30"/>
          <w:szCs w:val="30"/>
          <w:highlight w:val="none"/>
        </w:rPr>
        <w:t>推进畜禽粪污资源化利用</w:t>
      </w:r>
      <w:r>
        <w:rPr>
          <w:rFonts w:hint="eastAsia" w:ascii="Times New Roman" w:hAnsi="Times New Roman" w:eastAsia="仿宋_GB2312" w:cs="Times New Roman"/>
          <w:color w:val="000000"/>
          <w:sz w:val="30"/>
          <w:szCs w:val="30"/>
          <w:highlight w:val="none"/>
          <w:lang w:eastAsia="zh-CN"/>
        </w:rPr>
        <w:t>。到2025年，</w:t>
      </w:r>
      <w:r>
        <w:rPr>
          <w:rFonts w:hint="eastAsia" w:ascii="Times New Roman" w:hAnsi="Times New Roman" w:eastAsia="仿宋_GB2312" w:cs="Times New Roman"/>
          <w:color w:val="000000"/>
          <w:sz w:val="30"/>
          <w:szCs w:val="30"/>
          <w:highlight w:val="none"/>
        </w:rPr>
        <w:t>农业面源污染加剧趋势得到有效遏制，</w:t>
      </w:r>
      <w:r>
        <w:rPr>
          <w:rFonts w:hint="eastAsia" w:ascii="Times New Roman" w:hAnsi="Times New Roman" w:eastAsia="仿宋_GB2312" w:cs="Times New Roman"/>
          <w:color w:val="000000"/>
          <w:sz w:val="30"/>
          <w:szCs w:val="30"/>
          <w:highlight w:val="none"/>
          <w:lang w:val="en-US" w:eastAsia="zh-CN"/>
        </w:rPr>
        <w:t>废弃农药包装物</w:t>
      </w:r>
      <w:r>
        <w:rPr>
          <w:rFonts w:hint="eastAsia" w:ascii="Times New Roman" w:hAnsi="Times New Roman" w:eastAsia="仿宋_GB2312" w:cs="Times New Roman"/>
          <w:color w:val="000000"/>
          <w:sz w:val="30"/>
          <w:szCs w:val="30"/>
          <w:highlight w:val="none"/>
          <w:lang w:eastAsia="zh-CN"/>
        </w:rPr>
        <w:t>回收率达到100%，农膜使用量大的</w:t>
      </w:r>
      <w:r>
        <w:rPr>
          <w:rFonts w:hint="eastAsia" w:ascii="Times New Roman" w:hAnsi="Times New Roman" w:eastAsia="仿宋_GB2312" w:cs="Times New Roman"/>
          <w:color w:val="000000"/>
          <w:sz w:val="30"/>
          <w:szCs w:val="30"/>
          <w:highlight w:val="none"/>
          <w:lang w:val="en-US" w:eastAsia="zh-CN"/>
        </w:rPr>
        <w:t>乡</w:t>
      </w:r>
      <w:r>
        <w:rPr>
          <w:rFonts w:hint="eastAsia" w:ascii="Times New Roman" w:hAnsi="Times New Roman" w:eastAsia="仿宋_GB2312" w:cs="Times New Roman"/>
          <w:color w:val="000000"/>
          <w:sz w:val="30"/>
          <w:szCs w:val="30"/>
          <w:highlight w:val="none"/>
          <w:lang w:eastAsia="zh-CN"/>
        </w:rPr>
        <w:t>镇标准农膜推广使用面积增加到99%以上，农用废弃农膜回收率达到92%以上，农膜“白色污染”基本得到治理；</w:t>
      </w:r>
      <w:r>
        <w:rPr>
          <w:rFonts w:hint="eastAsia" w:ascii="Times New Roman" w:hAnsi="Times New Roman" w:eastAsia="仿宋_GB2312" w:cs="Times New Roman"/>
          <w:color w:val="000000"/>
          <w:sz w:val="30"/>
          <w:szCs w:val="30"/>
          <w:highlight w:val="none"/>
        </w:rPr>
        <w:t>到2025年，畜禽粪污综合利用率达到8</w:t>
      </w:r>
      <w:r>
        <w:rPr>
          <w:rFonts w:hint="eastAsia" w:ascii="Times New Roman" w:hAnsi="Times New Roman" w:eastAsia="仿宋_GB2312" w:cs="Times New Roman"/>
          <w:color w:val="000000"/>
          <w:sz w:val="30"/>
          <w:szCs w:val="30"/>
          <w:highlight w:val="none"/>
          <w:lang w:val="en-US" w:eastAsia="zh-CN"/>
        </w:rPr>
        <w:t>9</w:t>
      </w:r>
      <w:r>
        <w:rPr>
          <w:rFonts w:hint="eastAsia" w:ascii="Times New Roman" w:hAnsi="Times New Roman" w:eastAsia="仿宋_GB2312" w:cs="Times New Roman"/>
          <w:color w:val="000000"/>
          <w:sz w:val="30"/>
          <w:szCs w:val="30"/>
          <w:highlight w:val="none"/>
        </w:rPr>
        <w:t>%</w:t>
      </w:r>
      <w:r>
        <w:rPr>
          <w:rFonts w:hint="eastAsia" w:ascii="Times New Roman" w:hAnsi="Times New Roman" w:eastAsia="仿宋_GB2312" w:cs="Times New Roman"/>
          <w:color w:val="000000"/>
          <w:sz w:val="30"/>
          <w:szCs w:val="30"/>
          <w:highlight w:val="none"/>
          <w:lang w:eastAsia="zh-CN"/>
        </w:rPr>
        <w:t>，实现</w:t>
      </w:r>
      <w:r>
        <w:rPr>
          <w:rFonts w:hint="eastAsia" w:ascii="Times New Roman" w:hAnsi="Times New Roman" w:eastAsia="仿宋_GB2312" w:cs="Times New Roman"/>
          <w:color w:val="000000"/>
          <w:sz w:val="30"/>
          <w:szCs w:val="30"/>
          <w:highlight w:val="none"/>
        </w:rPr>
        <w:t>“农业三减、三基本”目标</w:t>
      </w:r>
      <w:r>
        <w:rPr>
          <w:rFonts w:hint="eastAsia" w:ascii="Times New Roman" w:hAnsi="Times New Roman" w:eastAsia="仿宋_GB2312" w:cs="Times New Roman"/>
          <w:color w:val="000000"/>
          <w:sz w:val="30"/>
          <w:szCs w:val="30"/>
          <w:highlight w:val="none"/>
          <w:lang w:eastAsia="zh-CN"/>
        </w:rPr>
        <w:t>。</w:t>
      </w:r>
    </w:p>
    <w:p w14:paraId="0777E665">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仿宋_GB2312" w:hAnsi="仿宋_GB2312" w:eastAsia="仿宋_GB2312" w:cs="仿宋_GB2312"/>
          <w:b w:val="0"/>
          <w:bCs w:val="0"/>
          <w:color w:val="000000"/>
          <w:kern w:val="0"/>
          <w:sz w:val="30"/>
          <w:szCs w:val="30"/>
          <w:highlight w:val="none"/>
        </w:rPr>
      </w:pPr>
      <w:r>
        <w:rPr>
          <w:rFonts w:hint="eastAsia" w:ascii="仿宋_GB2312" w:hAnsi="仿宋_GB2312" w:eastAsia="仿宋_GB2312" w:cs="仿宋_GB2312"/>
          <w:b/>
          <w:bCs/>
          <w:color w:val="000000"/>
          <w:kern w:val="0"/>
          <w:sz w:val="30"/>
          <w:szCs w:val="30"/>
          <w:highlight w:val="none"/>
          <w:lang w:val="en-US" w:eastAsia="zh-CN"/>
        </w:rPr>
        <w:t>加快补齐</w:t>
      </w:r>
      <w:r>
        <w:rPr>
          <w:rFonts w:hint="eastAsia" w:ascii="仿宋_GB2312" w:hAnsi="仿宋_GB2312" w:eastAsia="仿宋_GB2312" w:cs="仿宋_GB2312"/>
          <w:b/>
          <w:bCs/>
          <w:color w:val="000000"/>
          <w:kern w:val="0"/>
          <w:sz w:val="30"/>
          <w:szCs w:val="30"/>
          <w:highlight w:val="none"/>
        </w:rPr>
        <w:t>环境基础设施补短板。</w:t>
      </w:r>
      <w:r>
        <w:rPr>
          <w:rFonts w:hint="eastAsia" w:ascii="Times New Roman" w:hAnsi="Times New Roman" w:eastAsia="仿宋_GB2312" w:cs="Times New Roman"/>
          <w:b w:val="0"/>
          <w:bCs w:val="0"/>
          <w:snapToGrid/>
          <w:color w:val="auto"/>
          <w:kern w:val="2"/>
          <w:sz w:val="30"/>
          <w:szCs w:val="30"/>
          <w:highlight w:val="none"/>
          <w:lang w:val="en-US" w:eastAsia="zh-CN" w:bidi="ar-SA"/>
        </w:rPr>
        <w:t>完善生态环境基础设施建设，</w:t>
      </w:r>
      <w:r>
        <w:rPr>
          <w:rFonts w:hint="eastAsia" w:ascii="仿宋_GB2312" w:hAnsi="仿宋_GB2312" w:eastAsia="仿宋_GB2312" w:cs="仿宋_GB2312"/>
          <w:color w:val="000000"/>
          <w:kern w:val="0"/>
          <w:sz w:val="30"/>
          <w:szCs w:val="30"/>
          <w:highlight w:val="none"/>
        </w:rPr>
        <w:t>构建污水、垃圾、固体废物、危险废物、医疗废物处理处置设施和监测监管能力于一体的环境基</w:t>
      </w:r>
      <w:r>
        <w:rPr>
          <w:rFonts w:hint="eastAsia" w:ascii="仿宋_GB2312" w:hAnsi="仿宋_GB2312" w:eastAsia="仿宋_GB2312" w:cs="仿宋_GB2312"/>
          <w:b w:val="0"/>
          <w:bCs w:val="0"/>
          <w:color w:val="000000"/>
          <w:kern w:val="0"/>
          <w:sz w:val="30"/>
          <w:szCs w:val="30"/>
          <w:highlight w:val="none"/>
        </w:rPr>
        <w:t>础设施体系，形成由城市向建制镇和乡村延伸覆盖的环境基础设施网络。</w:t>
      </w:r>
      <w:r>
        <w:rPr>
          <w:rFonts w:hint="eastAsia" w:ascii="Times New Roman" w:hAnsi="Times New Roman" w:eastAsia="仿宋_GB2312" w:cs="Times New Roman"/>
          <w:b w:val="0"/>
          <w:bCs w:val="0"/>
          <w:snapToGrid/>
          <w:color w:val="auto"/>
          <w:kern w:val="2"/>
          <w:sz w:val="30"/>
          <w:szCs w:val="30"/>
          <w:highlight w:val="none"/>
          <w:lang w:val="en-US" w:eastAsia="zh-CN" w:bidi="ar-SA"/>
        </w:rPr>
        <w:t>加快实施城镇污水管网建设和应急管网建设，补齐城镇污水收集和治理设施短板。</w:t>
      </w:r>
      <w:r>
        <w:rPr>
          <w:rFonts w:hint="eastAsia" w:ascii="仿宋_GB2312" w:hAnsi="仿宋_GB2312" w:eastAsia="仿宋_GB2312" w:cs="仿宋_GB2312"/>
          <w:b w:val="0"/>
          <w:bCs w:val="0"/>
          <w:color w:val="000000"/>
          <w:kern w:val="0"/>
          <w:sz w:val="30"/>
          <w:szCs w:val="30"/>
          <w:highlight w:val="none"/>
        </w:rPr>
        <w:t>持续推进污水提质增效，提升污水收集处理效能。积极推广低成本、易维护、高效率的典型地区农村污水处理适用技术，全力抓好农村生活污水处理设施长效化运行维护。</w:t>
      </w:r>
    </w:p>
    <w:p w14:paraId="30E695C3">
      <w:pPr>
        <w:pStyle w:val="19"/>
        <w:keepNext w:val="0"/>
        <w:keepLines w:val="0"/>
        <w:pageBreakBefore w:val="0"/>
        <w:widowControl/>
        <w:kinsoku w:val="0"/>
        <w:wordWrap/>
        <w:overflowPunct/>
        <w:topLinePunct w:val="0"/>
        <w:autoSpaceDE w:val="0"/>
        <w:autoSpaceDN w:val="0"/>
        <w:bidi w:val="0"/>
        <w:adjustRightInd w:val="0"/>
        <w:snapToGrid w:val="0"/>
        <w:spacing w:after="0"/>
        <w:ind w:left="0" w:leftChars="0" w:firstLine="602" w:firstLineChars="200"/>
        <w:textAlignment w:val="baseline"/>
        <w:rPr>
          <w:rFonts w:hint="default"/>
          <w:sz w:val="30"/>
          <w:szCs w:val="30"/>
          <w:highlight w:val="none"/>
          <w:lang w:val="en-US" w:eastAsia="zh-CN"/>
        </w:rPr>
      </w:pPr>
      <w:r>
        <w:rPr>
          <w:rFonts w:hint="eastAsia" w:eastAsia="仿宋_GB2312" w:cs="Times New Roman"/>
          <w:b/>
          <w:bCs/>
          <w:snapToGrid/>
          <w:color w:val="auto"/>
          <w:kern w:val="2"/>
          <w:sz w:val="30"/>
          <w:szCs w:val="30"/>
          <w:highlight w:val="none"/>
          <w:lang w:val="en-US" w:eastAsia="zh-CN" w:bidi="ar-SA"/>
        </w:rPr>
        <w:t>提升</w:t>
      </w:r>
      <w:r>
        <w:rPr>
          <w:rFonts w:hint="eastAsia" w:ascii="Times New Roman" w:hAnsi="Times New Roman" w:eastAsia="仿宋_GB2312" w:cs="Times New Roman"/>
          <w:b/>
          <w:bCs/>
          <w:snapToGrid/>
          <w:color w:val="auto"/>
          <w:kern w:val="2"/>
          <w:sz w:val="30"/>
          <w:szCs w:val="30"/>
          <w:highlight w:val="none"/>
          <w:lang w:val="en-US" w:eastAsia="zh-CN" w:bidi="ar-SA"/>
        </w:rPr>
        <w:t>城乡生活垃圾</w:t>
      </w:r>
      <w:r>
        <w:rPr>
          <w:rFonts w:hint="eastAsia" w:eastAsia="仿宋_GB2312" w:cs="Times New Roman"/>
          <w:b/>
          <w:bCs/>
          <w:snapToGrid/>
          <w:color w:val="auto"/>
          <w:kern w:val="2"/>
          <w:sz w:val="30"/>
          <w:szCs w:val="30"/>
          <w:highlight w:val="none"/>
          <w:lang w:val="en-US" w:eastAsia="zh-CN" w:bidi="ar-SA"/>
        </w:rPr>
        <w:t>处置水平。</w:t>
      </w:r>
      <w:r>
        <w:rPr>
          <w:rFonts w:hint="eastAsia" w:ascii="Times New Roman" w:hAnsi="Times New Roman" w:eastAsia="仿宋_GB2312" w:cs="Times New Roman"/>
          <w:b w:val="0"/>
          <w:bCs w:val="0"/>
          <w:snapToGrid/>
          <w:color w:val="auto"/>
          <w:kern w:val="2"/>
          <w:sz w:val="30"/>
          <w:szCs w:val="30"/>
          <w:highlight w:val="none"/>
          <w:lang w:val="en-US" w:eastAsia="zh-CN" w:bidi="ar-SA"/>
        </w:rPr>
        <w:t>加快片区压缩转运设施建设，降低生活垃圾处置成本</w:t>
      </w:r>
      <w:r>
        <w:rPr>
          <w:rFonts w:hint="eastAsia" w:eastAsia="仿宋_GB2312" w:cs="Times New Roman"/>
          <w:b w:val="0"/>
          <w:bCs w:val="0"/>
          <w:snapToGrid/>
          <w:color w:val="auto"/>
          <w:kern w:val="2"/>
          <w:sz w:val="30"/>
          <w:szCs w:val="30"/>
          <w:highlight w:val="none"/>
          <w:lang w:val="en-US" w:eastAsia="zh-CN" w:bidi="ar-SA"/>
        </w:rPr>
        <w:t>；</w:t>
      </w:r>
      <w:r>
        <w:rPr>
          <w:rFonts w:hint="eastAsia" w:ascii="Times New Roman" w:hAnsi="Times New Roman" w:eastAsia="仿宋_GB2312" w:cs="Times New Roman"/>
          <w:b w:val="0"/>
          <w:bCs w:val="0"/>
          <w:snapToGrid/>
          <w:color w:val="auto"/>
          <w:kern w:val="2"/>
          <w:sz w:val="30"/>
          <w:szCs w:val="30"/>
          <w:highlight w:val="none"/>
          <w:lang w:val="en-US" w:eastAsia="zh-CN" w:bidi="ar-SA"/>
        </w:rPr>
        <w:t>加强</w:t>
      </w:r>
      <w:r>
        <w:rPr>
          <w:rFonts w:hint="eastAsia" w:eastAsia="仿宋_GB2312" w:cs="Times New Roman"/>
          <w:b w:val="0"/>
          <w:bCs w:val="0"/>
          <w:snapToGrid/>
          <w:color w:val="auto"/>
          <w:kern w:val="2"/>
          <w:sz w:val="30"/>
          <w:szCs w:val="30"/>
          <w:highlight w:val="none"/>
          <w:lang w:val="en-US" w:eastAsia="zh-CN" w:bidi="ar-SA"/>
        </w:rPr>
        <w:t>城市</w:t>
      </w:r>
      <w:r>
        <w:rPr>
          <w:rFonts w:hint="eastAsia" w:ascii="Times New Roman" w:hAnsi="Times New Roman" w:eastAsia="仿宋_GB2312" w:cs="Times New Roman"/>
          <w:b w:val="0"/>
          <w:bCs w:val="0"/>
          <w:snapToGrid/>
          <w:color w:val="auto"/>
          <w:kern w:val="2"/>
          <w:sz w:val="30"/>
          <w:szCs w:val="30"/>
          <w:highlight w:val="none"/>
          <w:lang w:val="en-US" w:eastAsia="zh-CN" w:bidi="ar-SA"/>
        </w:rPr>
        <w:t>环境卫生管理，及时修改完善城市管理办法，严格执行生活垃圾定时定点收集管理规定，努力提升</w:t>
      </w:r>
      <w:r>
        <w:rPr>
          <w:rFonts w:hint="eastAsia" w:eastAsia="仿宋_GB2312" w:cs="Times New Roman"/>
          <w:b w:val="0"/>
          <w:bCs w:val="0"/>
          <w:snapToGrid/>
          <w:color w:val="auto"/>
          <w:kern w:val="2"/>
          <w:sz w:val="30"/>
          <w:szCs w:val="30"/>
          <w:highlight w:val="none"/>
          <w:lang w:val="en-US" w:eastAsia="zh-CN" w:bidi="ar-SA"/>
        </w:rPr>
        <w:t>市政管理</w:t>
      </w:r>
      <w:r>
        <w:rPr>
          <w:rFonts w:hint="eastAsia" w:ascii="Times New Roman" w:hAnsi="Times New Roman" w:eastAsia="仿宋_GB2312" w:cs="Times New Roman"/>
          <w:b w:val="0"/>
          <w:bCs w:val="0"/>
          <w:snapToGrid/>
          <w:color w:val="auto"/>
          <w:kern w:val="2"/>
          <w:sz w:val="30"/>
          <w:szCs w:val="30"/>
          <w:highlight w:val="none"/>
          <w:lang w:val="en-US" w:eastAsia="zh-CN" w:bidi="ar-SA"/>
        </w:rPr>
        <w:t>水平。建立分类投放、分类收集、分类运输、分类处理的垃圾处理系统，提高居民对生活垃圾分类管理意识，推进垃圾分类体系建设，实现生活垃圾减量化、资源化、无害化，缓解垃圾处理压力。</w:t>
      </w:r>
      <w:r>
        <w:rPr>
          <w:rFonts w:hint="eastAsia" w:ascii="Times New Roman" w:hAnsi="Times New Roman" w:eastAsia="仿宋_GB2312" w:cs="Times New Roman"/>
          <w:b w:val="0"/>
          <w:bCs w:val="0"/>
          <w:color w:val="000000"/>
          <w:sz w:val="30"/>
          <w:szCs w:val="30"/>
          <w:highlight w:val="none"/>
        </w:rPr>
        <w:t>推进农村生活垃圾治理，确保农村生活垃圾收转运体系稳定运行。</w:t>
      </w:r>
      <w:r>
        <w:rPr>
          <w:rFonts w:hint="eastAsia" w:ascii="Times New Roman" w:hAnsi="Times New Roman" w:eastAsia="仿宋_GB2312" w:cs="Times New Roman"/>
          <w:b w:val="0"/>
          <w:bCs w:val="0"/>
          <w:snapToGrid/>
          <w:color w:val="auto"/>
          <w:kern w:val="2"/>
          <w:sz w:val="30"/>
          <w:szCs w:val="30"/>
          <w:highlight w:val="none"/>
          <w:lang w:val="en-US" w:eastAsia="zh-CN" w:bidi="ar-SA"/>
        </w:rPr>
        <w:t>持续加大城乡环境的综合整治，全面提升人居环境品质。</w:t>
      </w:r>
    </w:p>
    <w:p w14:paraId="3BE7991B">
      <w:pPr>
        <w:pStyle w:val="4"/>
        <w:keepNext w:val="0"/>
        <w:keepLines w:val="0"/>
        <w:pageBreakBefore w:val="0"/>
        <w:widowControl w:val="0"/>
        <w:numPr>
          <w:ilvl w:val="0"/>
          <w:numId w:val="8"/>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68" w:name="_Toc22415"/>
      <w:bookmarkStart w:id="69" w:name="_Toc30994"/>
      <w:r>
        <w:rPr>
          <w:rFonts w:hint="eastAsia" w:ascii="仿宋_GB2312" w:hAnsi="仿宋_GB2312" w:eastAsia="仿宋_GB2312" w:cs="仿宋_GB2312"/>
          <w:snapToGrid/>
          <w:kern w:val="2"/>
          <w:sz w:val="30"/>
          <w:szCs w:val="30"/>
          <w:highlight w:val="none"/>
          <w:lang w:val="en-US" w:eastAsia="zh-CN"/>
        </w:rPr>
        <w:t>统筹推进生态保护修复</w:t>
      </w:r>
      <w:bookmarkEnd w:id="68"/>
      <w:bookmarkEnd w:id="69"/>
    </w:p>
    <w:p w14:paraId="4C5E566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b w:val="0"/>
          <w:bCs w:val="0"/>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加强重点区域生态系统保护与修复。</w:t>
      </w:r>
      <w:r>
        <w:rPr>
          <w:rFonts w:hint="eastAsia" w:ascii="Times New Roman" w:hAnsi="Times New Roman" w:eastAsia="仿宋_GB2312" w:cs="Times New Roman"/>
          <w:b w:val="0"/>
          <w:bCs w:val="0"/>
          <w:snapToGrid/>
          <w:color w:val="auto"/>
          <w:kern w:val="2"/>
          <w:sz w:val="30"/>
          <w:szCs w:val="30"/>
          <w:highlight w:val="none"/>
          <w:lang w:val="en-US" w:eastAsia="zh-CN" w:bidi="ar-SA"/>
        </w:rPr>
        <w:t>落实《全国重要生态系统保护和修复重大工程总体规划（2021—2035年）》要求，着重抓好国家重点生态功能区、生态保护红线、自然保护地等重点区域生态保护和修复，实施山水林田湖草沙一体化保护和修复。完成历史遗留废弃矿山年度修复任务。深入实施河湖长制、库长制、林长制、田长制，严守生态保护红线环境质量底线、资源利用上限。加强黑土地保护，统筹推进田、土、水、路、林、电、技、管综合配套体系建设。到2025年，建成49.11万亩高标准农田。因地制宜推广秸秆还田、增施有机肥等黑土地保护利用技术模式，实施黑土地保护性耕作行动。推进水土流失综合治理，造林补植、修复侵蚀沟。到2</w:t>
      </w:r>
      <w:r>
        <w:rPr>
          <w:rFonts w:hint="eastAsia" w:ascii="Times New Roman" w:hAnsi="Times New Roman" w:eastAsia="仿宋_GB2312" w:cs="Times New Roman"/>
          <w:b w:val="0"/>
          <w:bCs w:val="0"/>
          <w:snapToGrid/>
          <w:color w:val="auto"/>
          <w:kern w:val="2"/>
          <w:sz w:val="30"/>
          <w:szCs w:val="30"/>
          <w:highlight w:val="none"/>
          <w:u w:val="none"/>
          <w:lang w:val="en-US" w:eastAsia="zh-CN" w:bidi="ar-SA"/>
        </w:rPr>
        <w:t>025年，完</w:t>
      </w:r>
      <w:r>
        <w:rPr>
          <w:rFonts w:hint="eastAsia" w:ascii="Times New Roman" w:hAnsi="Times New Roman" w:eastAsia="仿宋_GB2312" w:cs="Times New Roman"/>
          <w:b w:val="0"/>
          <w:bCs w:val="0"/>
          <w:snapToGrid/>
          <w:color w:val="auto"/>
          <w:kern w:val="2"/>
          <w:sz w:val="30"/>
          <w:szCs w:val="30"/>
          <w:highlight w:val="none"/>
          <w:lang w:val="en-US" w:eastAsia="zh-CN" w:bidi="ar-SA"/>
        </w:rPr>
        <w:t>成侵蚀沟水土流失治理329条。推行草原森林河流湖泊休养生息。开展大规模国土绿化行动，到2025年，全市森林覆盖率保持在46%、湿地保护率保持在50%，草原综合植被盖度稳定在70%左右。到2030年，</w:t>
      </w:r>
      <w:r>
        <w:rPr>
          <w:rFonts w:hint="eastAsia" w:ascii="Times New Roman" w:hAnsi="Times New Roman" w:eastAsia="仿宋_GB2312" w:cs="Times New Roman"/>
          <w:snapToGrid/>
          <w:color w:val="auto"/>
          <w:kern w:val="2"/>
          <w:sz w:val="30"/>
          <w:szCs w:val="30"/>
          <w:highlight w:val="none"/>
          <w:lang w:val="en-US" w:eastAsia="zh-CN" w:bidi="ar-SA"/>
        </w:rPr>
        <w:t>水土流失得到有效治理，</w:t>
      </w:r>
      <w:r>
        <w:rPr>
          <w:rFonts w:hint="eastAsia" w:ascii="Times New Roman" w:hAnsi="Times New Roman" w:eastAsia="仿宋_GB2312" w:cs="Times New Roman"/>
          <w:b w:val="0"/>
          <w:bCs w:val="0"/>
          <w:snapToGrid/>
          <w:color w:val="auto"/>
          <w:kern w:val="2"/>
          <w:sz w:val="30"/>
          <w:szCs w:val="30"/>
          <w:highlight w:val="none"/>
          <w:lang w:val="en-US" w:eastAsia="zh-CN" w:bidi="ar-SA"/>
        </w:rPr>
        <w:t>水土流失率下降到24%以下。</w:t>
      </w:r>
    </w:p>
    <w:p w14:paraId="12EA341E">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b w:val="0"/>
          <w:bCs w:val="0"/>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实施生物多样性保护重大工程。</w:t>
      </w:r>
      <w:r>
        <w:rPr>
          <w:rFonts w:hint="eastAsia" w:ascii="Times New Roman" w:hAnsi="Times New Roman" w:eastAsia="仿宋_GB2312" w:cs="Times New Roman"/>
          <w:snapToGrid/>
          <w:color w:val="auto"/>
          <w:kern w:val="2"/>
          <w:sz w:val="30"/>
          <w:szCs w:val="30"/>
          <w:highlight w:val="none"/>
          <w:lang w:val="en-US" w:eastAsia="zh-CN" w:bidi="ar-SA"/>
        </w:rPr>
        <w:t>建立张广才岭等生物多样性保护优先区，落实张广才岭生物多样性保护优先区要求，加强野生动植物以及珍贵木材保护。保护野生动物栖息地、繁殖地，为野生动物生存繁衍提供空间保障，推进落实张广才岭－大青山通道的生物迁徙通道的保护和提升，对廊道连通产生重要影响的节点开展生态修复。</w:t>
      </w:r>
      <w:r>
        <w:rPr>
          <w:rFonts w:hint="eastAsia" w:ascii="Times New Roman" w:hAnsi="Times New Roman" w:eastAsia="仿宋_GB2312" w:cs="Times New Roman"/>
          <w:b w:val="0"/>
          <w:bCs w:val="0"/>
          <w:snapToGrid/>
          <w:color w:val="auto"/>
          <w:kern w:val="2"/>
          <w:sz w:val="30"/>
          <w:szCs w:val="30"/>
          <w:highlight w:val="none"/>
          <w:lang w:val="en-US" w:eastAsia="zh-CN" w:bidi="ar-SA"/>
        </w:rPr>
        <w:t>根据省部署，</w:t>
      </w:r>
      <w:r>
        <w:rPr>
          <w:rFonts w:hint="eastAsia" w:ascii="Times New Roman" w:hAnsi="Times New Roman" w:eastAsia="仿宋_GB2312" w:cs="Times New Roman"/>
          <w:snapToGrid/>
          <w:color w:val="auto"/>
          <w:kern w:val="2"/>
          <w:sz w:val="30"/>
          <w:szCs w:val="30"/>
          <w:highlight w:val="none"/>
          <w:lang w:val="en-US" w:eastAsia="zh-CN" w:bidi="ar-SA"/>
        </w:rPr>
        <w:t>开展生物多样性调查，尤其是国家重点保护物种调查。开展外来入侵物种普查，摸清全市外来入侵物种种类数量、分布范围及危害程度。坚持全链条式检疫查验，强化入侵物种源头防控。</w:t>
      </w:r>
      <w:r>
        <w:rPr>
          <w:rFonts w:hint="eastAsia" w:ascii="Times New Roman" w:hAnsi="Times New Roman" w:eastAsia="仿宋_GB2312" w:cs="Times New Roman"/>
          <w:b w:val="0"/>
          <w:bCs w:val="0"/>
          <w:snapToGrid/>
          <w:color w:val="auto"/>
          <w:kern w:val="2"/>
          <w:sz w:val="30"/>
          <w:szCs w:val="30"/>
          <w:highlight w:val="none"/>
          <w:lang w:val="en-US" w:eastAsia="zh-CN" w:bidi="ar-SA"/>
        </w:rPr>
        <w:t>开展生物多样性优先区域调查、观测和评估，完成评估报告编制。加大珍稀濒危野生动植物保护救护力度。到2030年，基本建立外来物种入侵防控预警体系，外来物种入侵得到有效防治。</w:t>
      </w:r>
    </w:p>
    <w:p w14:paraId="57E3EB09">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default" w:ascii="Times New Roman" w:hAnsi="Times New Roman" w:eastAsia="仿宋_GB2312" w:cs="Times New Roman"/>
          <w:snapToGrid/>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仿宋_GB2312" w:cs="Times New Roman"/>
          <w:b/>
          <w:bCs/>
          <w:snapToGrid/>
          <w:color w:val="auto"/>
          <w:kern w:val="2"/>
          <w:sz w:val="30"/>
          <w:szCs w:val="30"/>
          <w:highlight w:val="none"/>
          <w:lang w:val="en-US" w:eastAsia="zh-CN" w:bidi="ar-SA"/>
        </w:rPr>
        <w:t>开展生态保护修复成效评估。</w:t>
      </w:r>
      <w:r>
        <w:rPr>
          <w:rFonts w:hint="eastAsia" w:ascii="Times New Roman" w:hAnsi="Times New Roman" w:eastAsia="仿宋_GB2312" w:cs="Times New Roman"/>
          <w:snapToGrid/>
          <w:color w:val="000000" w:themeColor="text1"/>
          <w:kern w:val="2"/>
          <w:sz w:val="30"/>
          <w:szCs w:val="30"/>
          <w:highlight w:val="none"/>
          <w:lang w:val="en-US" w:eastAsia="zh-CN" w:bidi="ar-SA"/>
          <w14:textFill>
            <w14:solidFill>
              <w14:schemeClr w14:val="tx1"/>
            </w14:solidFill>
          </w14:textFill>
        </w:rPr>
        <w:t>按照“事前、事中、事后”的全过程监管思路，针对生态保护修复工程实施的关键环节，</w:t>
      </w:r>
      <w:r>
        <w:rPr>
          <w:rFonts w:hint="eastAsia" w:ascii="Times New Roman" w:hAnsi="Times New Roman" w:eastAsia="仿宋_GB2312" w:cs="Times New Roman"/>
          <w:b w:val="0"/>
          <w:bCs w:val="0"/>
          <w:snapToGrid/>
          <w:color w:val="auto"/>
          <w:kern w:val="2"/>
          <w:sz w:val="30"/>
          <w:szCs w:val="30"/>
          <w:highlight w:val="none"/>
          <w:lang w:val="en-US" w:eastAsia="zh-CN" w:bidi="ar-SA"/>
        </w:rPr>
        <w:t>开展生态保护修复监督评估，</w:t>
      </w:r>
      <w:r>
        <w:rPr>
          <w:rFonts w:hint="eastAsia" w:ascii="Times New Roman" w:hAnsi="Times New Roman" w:eastAsia="仿宋_GB2312" w:cs="Times New Roman"/>
          <w:snapToGrid/>
          <w:color w:val="auto"/>
          <w:kern w:val="2"/>
          <w:sz w:val="30"/>
          <w:szCs w:val="30"/>
          <w:highlight w:val="none"/>
          <w:lang w:val="en-US" w:eastAsia="zh-CN" w:bidi="ar-SA"/>
        </w:rPr>
        <w:t>定期组织开展生态保护红线生态状况和保护修复成效评估。评估周期分为年度评估和五年评估，年度重点评估生态保护成效，五年重点评估全市生态功能及其变化情况，确保生态红线“面积不减少、性质不改变、功能不降低”。到2030年，重要生态功能区功能保持稳定，林草覆盖率逐步提升，生态安全屏障功能持续巩固。</w:t>
      </w:r>
    </w:p>
    <w:p w14:paraId="7A55E26A">
      <w:pPr>
        <w:pStyle w:val="4"/>
        <w:keepNext w:val="0"/>
        <w:keepLines w:val="0"/>
        <w:pageBreakBefore w:val="0"/>
        <w:widowControl w:val="0"/>
        <w:numPr>
          <w:ilvl w:val="0"/>
          <w:numId w:val="8"/>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70" w:name="_Toc21050"/>
      <w:bookmarkStart w:id="71" w:name="_Toc1793"/>
      <w:r>
        <w:rPr>
          <w:rFonts w:hint="eastAsia" w:ascii="仿宋_GB2312" w:hAnsi="仿宋_GB2312" w:eastAsia="仿宋_GB2312" w:cs="仿宋_GB2312"/>
          <w:snapToGrid/>
          <w:kern w:val="2"/>
          <w:sz w:val="30"/>
          <w:szCs w:val="30"/>
          <w:highlight w:val="none"/>
          <w:lang w:val="en-US" w:eastAsia="zh-CN"/>
        </w:rPr>
        <w:t>有效防范生态环境风险</w:t>
      </w:r>
      <w:bookmarkEnd w:id="70"/>
      <w:bookmarkEnd w:id="71"/>
    </w:p>
    <w:p w14:paraId="44DE770F">
      <w:pPr>
        <w:pStyle w:val="5"/>
        <w:pageBreakBefore w:val="0"/>
        <w:widowControl/>
        <w:numPr>
          <w:ilvl w:val="0"/>
          <w:numId w:val="10"/>
        </w:numPr>
        <w:kinsoku w:val="0"/>
        <w:wordWrap/>
        <w:overflowPunct/>
        <w:topLinePunct w:val="0"/>
        <w:autoSpaceDE w:val="0"/>
        <w:autoSpaceDN w:val="0"/>
        <w:bidi w:val="0"/>
        <w:adjustRightInd w:val="0"/>
        <w:snapToGrid w:val="0"/>
        <w:spacing w:before="0" w:beforeLines="0" w:after="0" w:afterLines="0" w:line="360" w:lineRule="auto"/>
        <w:ind w:left="0" w:leftChars="0" w:firstLine="0" w:firstLineChars="0"/>
        <w:textAlignment w:val="baseline"/>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加强环境风险防范常态化管理</w:t>
      </w:r>
    </w:p>
    <w:p w14:paraId="7B37165E">
      <w:pPr>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加强环境风险评估和预警工作。</w:t>
      </w:r>
      <w:r>
        <w:rPr>
          <w:rFonts w:hint="eastAsia" w:ascii="仿宋_GB2312" w:hAnsi="仿宋_GB2312" w:eastAsia="仿宋_GB2312" w:cs="仿宋_GB2312"/>
          <w:snapToGrid/>
          <w:kern w:val="2"/>
          <w:sz w:val="30"/>
          <w:szCs w:val="30"/>
          <w:highlight w:val="none"/>
          <w:lang w:eastAsia="zh-CN"/>
        </w:rPr>
        <w:t>完善企业及工业园区环境风险排查制度，推进环境风险分类分级管理，实施环境风险源登记</w:t>
      </w:r>
      <w:r>
        <w:rPr>
          <w:rFonts w:hint="eastAsia" w:ascii="Times New Roman" w:hAnsi="Times New Roman" w:eastAsia="仿宋_GB2312" w:cs="Times New Roman"/>
          <w:snapToGrid/>
          <w:color w:val="auto"/>
          <w:kern w:val="2"/>
          <w:sz w:val="30"/>
          <w:szCs w:val="30"/>
          <w:highlight w:val="none"/>
          <w:lang w:val="en-US" w:eastAsia="zh-CN" w:bidi="ar-SA"/>
        </w:rPr>
        <w:t>与动态管理，对高污染企业开展重点环境安全排查。推动建立环境应急与安全生产、消防安全预案一体化的管理机制，加强涉及环境风险物质企业的应急预案管理。推进重点企业和有毒有害气体环境风险预警体系建设，建立危险化学品突发环境事件监控预警网络。</w:t>
      </w:r>
      <w:r>
        <w:rPr>
          <w:rFonts w:hint="eastAsia" w:ascii="仿宋_GB2312" w:hAnsi="仿宋_GB2312" w:eastAsia="仿宋_GB2312" w:cs="仿宋_GB2312"/>
          <w:snapToGrid/>
          <w:kern w:val="2"/>
          <w:sz w:val="30"/>
          <w:szCs w:val="30"/>
          <w:highlight w:val="none"/>
          <w:lang w:val="en-US" w:eastAsia="en-US"/>
        </w:rPr>
        <w:t>到2025年，涉及环境风险企业的突发环境事件应急预案备案率保持100%。</w:t>
      </w:r>
    </w:p>
    <w:p w14:paraId="0F1D1B2B">
      <w:pPr>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建立全过程环境风险防范和应急管理体系。</w:t>
      </w:r>
      <w:r>
        <w:rPr>
          <w:rFonts w:hint="eastAsia" w:ascii="仿宋_GB2312" w:hAnsi="仿宋_GB2312" w:eastAsia="仿宋_GB2312" w:cs="仿宋_GB2312"/>
          <w:snapToGrid/>
          <w:kern w:val="2"/>
          <w:sz w:val="30"/>
          <w:szCs w:val="30"/>
          <w:highlight w:val="none"/>
          <w:lang w:eastAsia="zh-CN"/>
        </w:rPr>
        <w:t>完成环境应急物资及储备库建设，配备环境应急监测仪器、防护设备、物资器材、通信装备，应急监测车辆、物资等。及时修编《</w:t>
      </w:r>
      <w:r>
        <w:rPr>
          <w:rFonts w:hint="eastAsia" w:ascii="仿宋_GB2312" w:hAnsi="仿宋_GB2312" w:eastAsia="仿宋_GB2312" w:cs="仿宋_GB2312"/>
          <w:snapToGrid/>
          <w:kern w:val="2"/>
          <w:sz w:val="30"/>
          <w:szCs w:val="30"/>
          <w:highlight w:val="none"/>
          <w:lang w:val="en-US" w:eastAsia="zh-CN"/>
        </w:rPr>
        <w:t>五常市</w:t>
      </w:r>
      <w:r>
        <w:rPr>
          <w:rFonts w:hint="eastAsia" w:ascii="仿宋_GB2312" w:hAnsi="仿宋_GB2312" w:eastAsia="仿宋_GB2312" w:cs="仿宋_GB2312"/>
          <w:snapToGrid/>
          <w:kern w:val="2"/>
          <w:sz w:val="30"/>
          <w:szCs w:val="30"/>
          <w:highlight w:val="none"/>
          <w:lang w:eastAsia="zh-CN"/>
        </w:rPr>
        <w:t>突发环境事件应急预案》，完善“立体化”环境应急预案体系，提升环境应急处置和基础保障水平，完成环境风险防控重点工程建设。</w:t>
      </w:r>
    </w:p>
    <w:p w14:paraId="36543041">
      <w:pPr>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建立多部门联动的预警应急机制。</w:t>
      </w:r>
      <w:r>
        <w:rPr>
          <w:rFonts w:hint="eastAsia" w:ascii="仿宋_GB2312" w:hAnsi="仿宋_GB2312" w:eastAsia="仿宋_GB2312" w:cs="仿宋_GB2312"/>
          <w:snapToGrid/>
          <w:kern w:val="2"/>
          <w:sz w:val="30"/>
          <w:szCs w:val="30"/>
          <w:highlight w:val="none"/>
          <w:lang w:eastAsia="zh-CN"/>
        </w:rPr>
        <w:t>完善环境应急决策指挥系统，推动生态环境、公安、消防、应急管理局、卫健委等多部门协同联动。在重点区域、流域安装在线自动监测系统，实现事前预警、事后监控。建立环境质量预测预报机制，强化重污染天气、有毒有害气体等风险预警，及时制作和发布环境预警信息。</w:t>
      </w:r>
    </w:p>
    <w:p w14:paraId="62F420C5">
      <w:pPr>
        <w:pStyle w:val="5"/>
        <w:bidi w:val="0"/>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b/>
          <w:snapToGrid w:val="0"/>
          <w:color w:val="000000"/>
          <w:kern w:val="0"/>
          <w:sz w:val="30"/>
          <w:szCs w:val="30"/>
          <w:highlight w:val="none"/>
          <w:lang w:val="en-US" w:eastAsia="zh-CN" w:bidi="ar-SA"/>
        </w:rPr>
        <w:t>（2）提升环境应急综合管理能力</w:t>
      </w:r>
      <w:r>
        <w:rPr>
          <w:rFonts w:hint="eastAsia" w:ascii="仿宋_GB2312" w:hAnsi="仿宋_GB2312" w:eastAsia="仿宋_GB2312" w:cs="仿宋_GB2312"/>
          <w:sz w:val="30"/>
          <w:szCs w:val="30"/>
          <w:highlight w:val="none"/>
          <w:lang w:val="en-US" w:eastAsia="zh-CN"/>
        </w:rPr>
        <w:tab/>
      </w:r>
    </w:p>
    <w:p w14:paraId="2CE7C15F">
      <w:pPr>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加强环境风险防控保障能力建设。</w:t>
      </w:r>
      <w:r>
        <w:rPr>
          <w:rFonts w:hint="eastAsia" w:ascii="仿宋_GB2312" w:hAnsi="仿宋_GB2312" w:eastAsia="仿宋_GB2312" w:cs="仿宋_GB2312"/>
          <w:snapToGrid/>
          <w:kern w:val="2"/>
          <w:sz w:val="30"/>
          <w:szCs w:val="30"/>
          <w:highlight w:val="none"/>
          <w:lang w:eastAsia="zh-CN"/>
        </w:rPr>
        <w:t>结合</w:t>
      </w:r>
      <w:r>
        <w:rPr>
          <w:rFonts w:hint="eastAsia" w:ascii="仿宋_GB2312" w:hAnsi="仿宋_GB2312" w:eastAsia="仿宋_GB2312" w:cs="仿宋_GB2312"/>
          <w:snapToGrid/>
          <w:kern w:val="2"/>
          <w:sz w:val="30"/>
          <w:szCs w:val="30"/>
          <w:highlight w:val="none"/>
          <w:lang w:val="en-US" w:eastAsia="zh-CN"/>
        </w:rPr>
        <w:t>五常市</w:t>
      </w:r>
      <w:r>
        <w:rPr>
          <w:rFonts w:hint="eastAsia" w:ascii="仿宋_GB2312" w:hAnsi="仿宋_GB2312" w:eastAsia="仿宋_GB2312" w:cs="仿宋_GB2312"/>
          <w:snapToGrid/>
          <w:kern w:val="2"/>
          <w:sz w:val="30"/>
          <w:szCs w:val="30"/>
          <w:highlight w:val="none"/>
          <w:lang w:eastAsia="zh-CN"/>
        </w:rPr>
        <w:t>现有环境风险情况，以及“十四五”期间所上重大工业项目可能涉及的环境风险，加强应急物资储备及应急物资信息化建设，推进环境应急物资库建设。对存在环境风险的企事业单位作为环境应急物资储备的主体，指导企业落实防控措施，贮备应急物资，严防突发环境事件发生。建立专家技术服务规范，分级分类开展精准指导帮扶。安全生产责任保险覆盖所有危险化学品企业。</w:t>
      </w:r>
    </w:p>
    <w:p w14:paraId="6CC7D9BE">
      <w:pPr>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加强环境风险防控应急平台能力建设。</w:t>
      </w:r>
      <w:r>
        <w:rPr>
          <w:rFonts w:hint="eastAsia" w:ascii="仿宋_GB2312" w:hAnsi="仿宋_GB2312" w:eastAsia="仿宋_GB2312" w:cs="仿宋_GB2312"/>
          <w:snapToGrid/>
          <w:kern w:val="2"/>
          <w:sz w:val="30"/>
          <w:szCs w:val="30"/>
          <w:highlight w:val="none"/>
          <w:lang w:eastAsia="zh-CN"/>
        </w:rPr>
        <w:t>建立危险化学品全生命周期信息监管系统，将安全生产行政处罚信息统一纳入监管执法信息化系统，推进化工园区安全生产信息化智能化平台建设，加快建成应急管理部门与涉及危险化学品企业联网的远程监控系统。到20</w:t>
      </w:r>
      <w:r>
        <w:rPr>
          <w:rFonts w:hint="eastAsia" w:ascii="仿宋_GB2312" w:hAnsi="仿宋_GB2312" w:eastAsia="仿宋_GB2312" w:cs="仿宋_GB2312"/>
          <w:snapToGrid/>
          <w:kern w:val="2"/>
          <w:sz w:val="30"/>
          <w:szCs w:val="30"/>
          <w:highlight w:val="none"/>
          <w:lang w:val="en-US" w:eastAsia="zh-CN"/>
        </w:rPr>
        <w:t>30</w:t>
      </w:r>
      <w:r>
        <w:rPr>
          <w:rFonts w:hint="eastAsia" w:ascii="仿宋_GB2312" w:hAnsi="仿宋_GB2312" w:eastAsia="仿宋_GB2312" w:cs="仿宋_GB2312"/>
          <w:snapToGrid/>
          <w:kern w:val="2"/>
          <w:sz w:val="30"/>
          <w:szCs w:val="30"/>
          <w:highlight w:val="none"/>
          <w:lang w:eastAsia="zh-CN"/>
        </w:rPr>
        <w:t>年，建立危险化学品全生命周期信息监管系统。</w:t>
      </w:r>
    </w:p>
    <w:p w14:paraId="46AB963B">
      <w:pPr>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加强环境风险防控应急队伍建设。</w:t>
      </w:r>
      <w:r>
        <w:rPr>
          <w:rFonts w:hint="eastAsia" w:ascii="仿宋_GB2312" w:hAnsi="仿宋_GB2312" w:eastAsia="仿宋_GB2312" w:cs="仿宋_GB2312"/>
          <w:snapToGrid/>
          <w:kern w:val="2"/>
          <w:sz w:val="30"/>
          <w:szCs w:val="30"/>
          <w:highlight w:val="none"/>
          <w:lang w:eastAsia="zh-CN"/>
        </w:rPr>
        <w:t>着力推动生态环境、公安、消防、应急管理局、卫健委等多部门应急联动，重点加强环境监测队伍建设和相关专业装备配备。整合现有应急救援力量，扎实推进环境应急救援队伍建设，打造一支专业化环境应急救援队伍。成立由应急管理、环境监测、危险化学品、生态环境保护等专业领域专家组成的市级环境应急专家库。强化各级环境应急演练，统筹规划，定期组织开展环境应急演练，全面提升应急响应和处置能力，进一步规范和完善环境应急演练规划、组织、评估等环节管理，加强环境应急演练的标准化组织与实施。</w:t>
      </w:r>
    </w:p>
    <w:p w14:paraId="62072776">
      <w:pPr>
        <w:pStyle w:val="5"/>
        <w:bidi w:val="0"/>
        <w:rPr>
          <w:rFonts w:hint="eastAsia" w:ascii="仿宋_GB2312" w:hAnsi="仿宋_GB2312" w:eastAsia="仿宋_GB2312" w:cs="仿宋_GB2312"/>
          <w:b/>
          <w:snapToGrid w:val="0"/>
          <w:color w:val="000000"/>
          <w:kern w:val="0"/>
          <w:sz w:val="30"/>
          <w:szCs w:val="30"/>
          <w:highlight w:val="none"/>
          <w:lang w:val="en-US" w:eastAsia="zh-CN" w:bidi="ar-SA"/>
        </w:rPr>
      </w:pPr>
      <w:r>
        <w:rPr>
          <w:rFonts w:hint="eastAsia" w:ascii="仿宋_GB2312" w:hAnsi="仿宋_GB2312" w:eastAsia="仿宋_GB2312" w:cs="仿宋_GB2312"/>
          <w:b/>
          <w:snapToGrid w:val="0"/>
          <w:color w:val="000000"/>
          <w:kern w:val="0"/>
          <w:sz w:val="30"/>
          <w:szCs w:val="30"/>
          <w:highlight w:val="none"/>
          <w:lang w:val="en-US" w:eastAsia="zh-CN" w:bidi="ar-SA"/>
        </w:rPr>
        <w:t>（3）强化危险废物规范化管理</w:t>
      </w:r>
      <w:r>
        <w:rPr>
          <w:rFonts w:hint="eastAsia" w:ascii="仿宋_GB2312" w:hAnsi="仿宋_GB2312" w:eastAsia="仿宋_GB2312" w:cs="仿宋_GB2312"/>
          <w:b/>
          <w:snapToGrid w:val="0"/>
          <w:color w:val="000000"/>
          <w:kern w:val="0"/>
          <w:sz w:val="30"/>
          <w:szCs w:val="30"/>
          <w:highlight w:val="none"/>
          <w:lang w:val="en-US" w:eastAsia="zh-CN" w:bidi="ar-SA"/>
        </w:rPr>
        <w:tab/>
      </w:r>
    </w:p>
    <w:p w14:paraId="505140FD">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着力强化危险废物监管能力。</w:t>
      </w:r>
      <w:r>
        <w:rPr>
          <w:rFonts w:hint="eastAsia" w:ascii="仿宋_GB2312" w:hAnsi="仿宋_GB2312" w:eastAsia="仿宋_GB2312" w:cs="仿宋_GB2312"/>
          <w:snapToGrid/>
          <w:kern w:val="2"/>
          <w:sz w:val="30"/>
          <w:szCs w:val="30"/>
          <w:highlight w:val="none"/>
          <w:lang w:eastAsia="zh-CN"/>
        </w:rPr>
        <w:t>建立完善危险废物环境重点监管单位清单，开展危险废物规范化环境管理排查整治，推动提升危险废物利用处置能力建设，严厉打击危险废物环境违法行为，强化部门联动和危险废物全过程环境监管。持续推进危险废物规范化环境管理。继续加强危险废物管理督察考核和环境执法检查，将危险废物规范化环境管理情况纳入环境保护绩效考核体系，督促政府落实监管责任。继续完善固体废物信息管理平台，加强监管机构和人才队伍建设。到2025年，市域范围内危险废物利用处置率保持100%。</w:t>
      </w:r>
    </w:p>
    <w:p w14:paraId="5DABD708">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强化危险废物风险防范能力。</w:t>
      </w:r>
      <w:r>
        <w:rPr>
          <w:rFonts w:hint="eastAsia" w:ascii="仿宋_GB2312" w:hAnsi="仿宋_GB2312" w:eastAsia="仿宋_GB2312" w:cs="仿宋_GB2312"/>
          <w:snapToGrid/>
          <w:kern w:val="2"/>
          <w:sz w:val="30"/>
          <w:szCs w:val="30"/>
          <w:highlight w:val="none"/>
          <w:lang w:eastAsia="zh-CN"/>
        </w:rPr>
        <w:t>推动危险废物鉴别工作，强化企业危险废物鉴别主体责任，鼓励专业机构开展危险废物鉴别。严格督促落实危险废物环境风险防范措施，加强重点单位日常监督执法，加强危险废物环境应急响应能力建设。到20</w:t>
      </w:r>
      <w:r>
        <w:rPr>
          <w:rFonts w:hint="eastAsia" w:ascii="仿宋_GB2312" w:hAnsi="仿宋_GB2312" w:eastAsia="仿宋_GB2312" w:cs="仿宋_GB2312"/>
          <w:snapToGrid/>
          <w:kern w:val="2"/>
          <w:sz w:val="30"/>
          <w:szCs w:val="30"/>
          <w:highlight w:val="none"/>
          <w:lang w:val="en-US" w:eastAsia="zh-CN"/>
        </w:rPr>
        <w:t>30</w:t>
      </w:r>
      <w:r>
        <w:rPr>
          <w:rFonts w:hint="eastAsia" w:ascii="仿宋_GB2312" w:hAnsi="仿宋_GB2312" w:eastAsia="仿宋_GB2312" w:cs="仿宋_GB2312"/>
          <w:snapToGrid/>
          <w:kern w:val="2"/>
          <w:sz w:val="30"/>
          <w:szCs w:val="30"/>
          <w:highlight w:val="none"/>
          <w:lang w:eastAsia="zh-CN"/>
        </w:rPr>
        <w:t>年，建立健全“源头严防、过程严管、后果严惩”的危险废物环境监管体系；</w:t>
      </w:r>
      <w:r>
        <w:rPr>
          <w:rFonts w:hint="eastAsia" w:ascii="仿宋_GB2312" w:hAnsi="仿宋_GB2312" w:eastAsia="仿宋_GB2312" w:cs="仿宋_GB2312"/>
          <w:snapToGrid/>
          <w:kern w:val="2"/>
          <w:sz w:val="30"/>
          <w:szCs w:val="30"/>
          <w:highlight w:val="none"/>
          <w:lang w:val="en-US" w:eastAsia="zh-CN"/>
        </w:rPr>
        <w:t>五常市</w:t>
      </w:r>
      <w:r>
        <w:rPr>
          <w:rFonts w:hint="eastAsia" w:ascii="仿宋_GB2312" w:hAnsi="仿宋_GB2312" w:eastAsia="仿宋_GB2312" w:cs="仿宋_GB2312"/>
          <w:snapToGrid/>
          <w:kern w:val="2"/>
          <w:sz w:val="30"/>
          <w:szCs w:val="30"/>
          <w:highlight w:val="none"/>
          <w:lang w:eastAsia="zh-CN"/>
        </w:rPr>
        <w:t>内危险废物处置能力与实际处置需求基本匹配；危险废物环境风险防范能力显著提升，危险废物非法转移倾倒案件高发态势得到有效遏制。</w:t>
      </w:r>
    </w:p>
    <w:p w14:paraId="1B2BDAE2">
      <w:pPr>
        <w:pStyle w:val="5"/>
        <w:bidi w:val="0"/>
        <w:rPr>
          <w:rFonts w:hint="eastAsia" w:ascii="仿宋_GB2312" w:hAnsi="仿宋_GB2312" w:eastAsia="仿宋_GB2312" w:cs="仿宋_GB2312"/>
          <w:b/>
          <w:snapToGrid w:val="0"/>
          <w:color w:val="000000"/>
          <w:kern w:val="0"/>
          <w:sz w:val="30"/>
          <w:szCs w:val="30"/>
          <w:highlight w:val="none"/>
          <w:lang w:val="en-US" w:eastAsia="zh-CN" w:bidi="ar-SA"/>
        </w:rPr>
      </w:pPr>
      <w:r>
        <w:rPr>
          <w:rFonts w:hint="eastAsia" w:ascii="仿宋_GB2312" w:hAnsi="仿宋_GB2312" w:eastAsia="仿宋_GB2312" w:cs="仿宋_GB2312"/>
          <w:b/>
          <w:snapToGrid w:val="0"/>
          <w:color w:val="000000"/>
          <w:kern w:val="0"/>
          <w:sz w:val="30"/>
          <w:szCs w:val="30"/>
          <w:highlight w:val="none"/>
          <w:lang w:val="en-US" w:eastAsia="zh-CN" w:bidi="ar-SA"/>
        </w:rPr>
        <w:t>（4）防范新型环境污染物风险</w:t>
      </w:r>
      <w:r>
        <w:rPr>
          <w:rFonts w:hint="eastAsia" w:ascii="仿宋_GB2312" w:hAnsi="仿宋_GB2312" w:eastAsia="仿宋_GB2312" w:cs="仿宋_GB2312"/>
          <w:b/>
          <w:snapToGrid w:val="0"/>
          <w:color w:val="000000"/>
          <w:kern w:val="0"/>
          <w:sz w:val="30"/>
          <w:szCs w:val="30"/>
          <w:highlight w:val="none"/>
          <w:lang w:val="en-US" w:eastAsia="zh-CN" w:bidi="ar-SA"/>
        </w:rPr>
        <w:tab/>
      </w:r>
    </w:p>
    <w:p w14:paraId="5A138551">
      <w:pPr>
        <w:widowControl w:val="0"/>
        <w:kinsoku/>
        <w:autoSpaceDE/>
        <w:autoSpaceDN/>
        <w:adjustRightInd/>
        <w:snapToGrid/>
        <w:spacing w:line="360" w:lineRule="auto"/>
        <w:ind w:firstLine="600"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snapToGrid/>
          <w:kern w:val="2"/>
          <w:sz w:val="30"/>
          <w:szCs w:val="30"/>
          <w:highlight w:val="none"/>
          <w:lang w:eastAsia="zh-CN"/>
        </w:rPr>
        <w:t>完善危险化学品管理体系，严格实施国家公布的优先控制化学物质名录及要求，对高环境危害、高健康风险化学物质实施管制。提升化学品及持久性有机污染物监管能力，提高废弃危险化学品安全处置水平。组织排查危险化学品环境风险，重点排查危险化学品生产、储存、使用、经营、运输和废弃处置以及涉及危险化学品的物流园区环境风险。到2025年，建立区域性危险化学品环境风险分布图。逐步将化学品生产、储存、使用、经营、运输和废弃处置等基本情况纳入管理平台进行统一管理。到2025年，完成化学物质基本信息调查和环境风险优先评估化学物质信息调查，逐步建立健全有毒有害化学物质环境风险管理机制。到2030年，新污染物风险管控能力明显提升。</w:t>
      </w:r>
    </w:p>
    <w:p w14:paraId="2CB597E3">
      <w:pPr>
        <w:pStyle w:val="5"/>
        <w:bidi w:val="0"/>
        <w:rPr>
          <w:rFonts w:hint="eastAsia" w:ascii="仿宋_GB2312" w:hAnsi="仿宋_GB2312" w:eastAsia="仿宋_GB2312" w:cs="仿宋_GB2312"/>
          <w:b/>
          <w:snapToGrid w:val="0"/>
          <w:color w:val="000000"/>
          <w:kern w:val="0"/>
          <w:sz w:val="30"/>
          <w:szCs w:val="30"/>
          <w:highlight w:val="none"/>
          <w:lang w:val="en-US" w:eastAsia="zh-CN" w:bidi="ar-SA"/>
        </w:rPr>
      </w:pPr>
      <w:r>
        <w:rPr>
          <w:rFonts w:hint="eastAsia" w:ascii="仿宋_GB2312" w:hAnsi="仿宋_GB2312" w:eastAsia="仿宋_GB2312" w:cs="仿宋_GB2312"/>
          <w:b/>
          <w:snapToGrid w:val="0"/>
          <w:color w:val="000000"/>
          <w:kern w:val="0"/>
          <w:sz w:val="30"/>
          <w:szCs w:val="30"/>
          <w:highlight w:val="none"/>
          <w:lang w:val="en-US" w:eastAsia="zh-CN" w:bidi="ar-SA"/>
        </w:rPr>
        <w:t>（5）全面推进核与辐射管理</w:t>
      </w:r>
      <w:r>
        <w:rPr>
          <w:rFonts w:hint="eastAsia" w:ascii="仿宋_GB2312" w:hAnsi="仿宋_GB2312" w:eastAsia="仿宋_GB2312" w:cs="仿宋_GB2312"/>
          <w:b/>
          <w:snapToGrid w:val="0"/>
          <w:color w:val="000000"/>
          <w:kern w:val="0"/>
          <w:sz w:val="30"/>
          <w:szCs w:val="30"/>
          <w:highlight w:val="none"/>
          <w:lang w:val="en-US" w:eastAsia="zh-CN" w:bidi="ar-SA"/>
        </w:rPr>
        <w:tab/>
      </w:r>
    </w:p>
    <w:p w14:paraId="6087BF8C">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建立核与辐射安全监管体系。</w:t>
      </w:r>
      <w:r>
        <w:rPr>
          <w:rFonts w:hint="eastAsia" w:ascii="仿宋_GB2312" w:hAnsi="仿宋_GB2312" w:eastAsia="仿宋_GB2312" w:cs="仿宋_GB2312"/>
          <w:snapToGrid/>
          <w:kern w:val="2"/>
          <w:sz w:val="30"/>
          <w:szCs w:val="30"/>
          <w:highlight w:val="none"/>
          <w:lang w:eastAsia="zh-CN"/>
        </w:rPr>
        <w:t>积极配合</w:t>
      </w:r>
      <w:r>
        <w:rPr>
          <w:rFonts w:hint="eastAsia" w:ascii="仿宋_GB2312" w:hAnsi="仿宋_GB2312" w:eastAsia="仿宋_GB2312" w:cs="仿宋_GB2312"/>
          <w:snapToGrid/>
          <w:kern w:val="2"/>
          <w:sz w:val="30"/>
          <w:szCs w:val="30"/>
          <w:highlight w:val="none"/>
          <w:lang w:val="en-US" w:eastAsia="zh-CN"/>
        </w:rPr>
        <w:t>哈尔滨市</w:t>
      </w:r>
      <w:r>
        <w:rPr>
          <w:rFonts w:hint="eastAsia" w:ascii="仿宋_GB2312" w:hAnsi="仿宋_GB2312" w:eastAsia="仿宋_GB2312" w:cs="仿宋_GB2312"/>
          <w:snapToGrid/>
          <w:kern w:val="2"/>
          <w:sz w:val="30"/>
          <w:szCs w:val="30"/>
          <w:highlight w:val="none"/>
          <w:lang w:eastAsia="zh-CN"/>
        </w:rPr>
        <w:t>开展核与辐射安全隐患排查，结合实际提升辐射环境质量监测能力，建立统一指挥、统一调度的核事故应急响应专业队伍，加强应急综合演练提高应急处置能力。到20</w:t>
      </w:r>
      <w:r>
        <w:rPr>
          <w:rFonts w:hint="eastAsia" w:ascii="仿宋_GB2312" w:hAnsi="仿宋_GB2312" w:eastAsia="仿宋_GB2312" w:cs="仿宋_GB2312"/>
          <w:snapToGrid/>
          <w:kern w:val="2"/>
          <w:sz w:val="30"/>
          <w:szCs w:val="30"/>
          <w:highlight w:val="none"/>
          <w:lang w:val="en-US" w:eastAsia="zh-CN"/>
        </w:rPr>
        <w:t>30</w:t>
      </w:r>
      <w:r>
        <w:rPr>
          <w:rFonts w:hint="eastAsia" w:ascii="仿宋_GB2312" w:hAnsi="仿宋_GB2312" w:eastAsia="仿宋_GB2312" w:cs="仿宋_GB2312"/>
          <w:snapToGrid/>
          <w:kern w:val="2"/>
          <w:sz w:val="30"/>
          <w:szCs w:val="30"/>
          <w:highlight w:val="none"/>
          <w:lang w:eastAsia="zh-CN"/>
        </w:rPr>
        <w:t>年，核与辐射安全监管、应急处置能力明显提升。到2035年，核与辐射突发事件保持零增长。</w:t>
      </w:r>
    </w:p>
    <w:p w14:paraId="45F0BF8B">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推进核与辐射污染防治。</w:t>
      </w:r>
      <w:r>
        <w:rPr>
          <w:rFonts w:hint="eastAsia" w:ascii="仿宋_GB2312" w:hAnsi="仿宋_GB2312" w:eastAsia="仿宋_GB2312" w:cs="仿宋_GB2312"/>
          <w:snapToGrid/>
          <w:kern w:val="2"/>
          <w:sz w:val="30"/>
          <w:szCs w:val="30"/>
          <w:highlight w:val="none"/>
          <w:lang w:eastAsia="zh-CN"/>
        </w:rPr>
        <w:t>加强核技术利用单位辐射安全检查，实施放射性废物（源）安全收贮，实施高风险核技术利用项目退役治理制度。健全核技术利用辐射安全管理信息系统，完善放射源全过程动态管理，建立高危险移动放射源跟踪监控体系，废旧放射源100%安全收贮。强化电磁辐射建设项目环境管理，规范申报登记制度，开展区域环境电磁辐射水平调查与评价，增强电磁辐射投诉处理能力。开展铀矿和伴生放射性矿辐射水平调查，制定废物处置与利用措施。</w:t>
      </w:r>
    </w:p>
    <w:p w14:paraId="3E7D2C96">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加大核与辐射污染防治宣传力度。</w:t>
      </w:r>
      <w:r>
        <w:rPr>
          <w:rFonts w:hint="eastAsia" w:ascii="仿宋_GB2312" w:hAnsi="仿宋_GB2312" w:eastAsia="仿宋_GB2312" w:cs="仿宋_GB2312"/>
          <w:snapToGrid/>
          <w:kern w:val="2"/>
          <w:sz w:val="30"/>
          <w:szCs w:val="30"/>
          <w:highlight w:val="none"/>
          <w:lang w:eastAsia="zh-CN"/>
        </w:rPr>
        <w:t>加强核安全文化建设，通过思想教育、制度规范、环境熏陶等方式，在核安全监管系统内部统一思想认识、规范工作要求，提升从业人员辐射安全意识。研发推广核与辐射文化产品。开展“全民国家安全教育日”核与辐射安全教育活动，建设核与辐射污染防治宣教基地建设。</w:t>
      </w:r>
    </w:p>
    <w:p w14:paraId="152284DF">
      <w:pPr>
        <w:pStyle w:val="3"/>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72" w:name="_Toc16997"/>
      <w:bookmarkStart w:id="73" w:name="_Toc23568"/>
      <w:r>
        <w:rPr>
          <w:rFonts w:hint="eastAsia" w:ascii="方正楷体_GB2312" w:hAnsi="方正楷体_GB2312" w:eastAsia="方正楷体_GB2312" w:cs="方正楷体_GB2312"/>
          <w:b/>
          <w:bCs/>
          <w:snapToGrid/>
          <w:kern w:val="2"/>
          <w:szCs w:val="24"/>
          <w:highlight w:val="none"/>
          <w:lang w:eastAsia="zh-CN"/>
        </w:rPr>
        <w:t>（三）生态经济体系建设</w:t>
      </w:r>
      <w:bookmarkEnd w:id="72"/>
      <w:bookmarkEnd w:id="73"/>
    </w:p>
    <w:p w14:paraId="120E8400">
      <w:pPr>
        <w:pStyle w:val="4"/>
        <w:keepNext w:val="0"/>
        <w:keepLines w:val="0"/>
        <w:pageBreakBefore w:val="0"/>
        <w:widowControl w:val="0"/>
        <w:numPr>
          <w:ilvl w:val="0"/>
          <w:numId w:val="11"/>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74" w:name="_Toc26559"/>
      <w:r>
        <w:rPr>
          <w:rFonts w:hint="eastAsia" w:ascii="仿宋_GB2312" w:hAnsi="仿宋_GB2312" w:eastAsia="仿宋_GB2312" w:cs="仿宋_GB2312"/>
          <w:snapToGrid/>
          <w:kern w:val="2"/>
          <w:sz w:val="30"/>
          <w:szCs w:val="30"/>
          <w:highlight w:val="none"/>
          <w:lang w:val="en-US" w:eastAsia="zh-CN"/>
        </w:rPr>
        <w:t>持续推进产业结构优化升级</w:t>
      </w:r>
      <w:bookmarkEnd w:id="74"/>
    </w:p>
    <w:p w14:paraId="12D8AF6C">
      <w:pPr>
        <w:pStyle w:val="19"/>
        <w:keepNext w:val="0"/>
        <w:keepLines w:val="0"/>
        <w:pageBreakBefore w:val="0"/>
        <w:widowControl/>
        <w:kinsoku w:val="0"/>
        <w:wordWrap/>
        <w:overflowPunct/>
        <w:topLinePunct w:val="0"/>
        <w:autoSpaceDE w:val="0"/>
        <w:autoSpaceDN w:val="0"/>
        <w:bidi w:val="0"/>
        <w:adjustRightInd w:val="0"/>
        <w:snapToGrid w:val="0"/>
        <w:spacing w:after="0"/>
        <w:ind w:left="0" w:leftChars="0" w:firstLine="602" w:firstLineChars="200"/>
        <w:jc w:val="both"/>
        <w:textAlignment w:val="baseline"/>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农业领域产业结构转型升级。</w:t>
      </w:r>
      <w:r>
        <w:rPr>
          <w:rFonts w:hint="eastAsia" w:ascii="仿宋_GB2312" w:hAnsi="仿宋_GB2312" w:eastAsia="仿宋_GB2312" w:cs="仿宋_GB2312"/>
          <w:b w:val="0"/>
          <w:bCs w:val="0"/>
          <w:sz w:val="30"/>
          <w:szCs w:val="30"/>
          <w:highlight w:val="none"/>
          <w:lang w:val="en-US" w:eastAsia="zh-CN"/>
        </w:rPr>
        <w:t>一是严格落实黑土地保护政策。实施表土剥离，持续保障黑土耕地生产能力，压实田长制主体责任，切实做到守好每一寸耕地红线，防止耕地“非农化”，遏制耕地“非粮化”。二是全力打造特色农产品品牌。深入实施“品牌强农富民兴市”战略，从“品种、品质、品位、品相、品牌”五个方面重点发力，坚持以“粮头食尾”“农头工尾”为抓手，延伸粮食产业链、提升价值链、打造供应链，深入实施五常稻米产业提升工程，打造五常大米区域公用品牌。到2030年，扶持培育一批具有地方特色的企业品牌。三是积极培育农业增长新亮点。根据市场需求，持续探索建设菜园革命示范村，坚持因村制</w:t>
      </w:r>
      <w:r>
        <w:rPr>
          <w:rFonts w:hint="eastAsia" w:ascii="仿宋_GB2312" w:hAnsi="仿宋_GB2312" w:eastAsia="仿宋_GB2312" w:cs="仿宋_GB2312"/>
          <w:sz w:val="30"/>
          <w:szCs w:val="30"/>
          <w:highlight w:val="none"/>
          <w:lang w:val="en-US" w:eastAsia="zh-CN"/>
        </w:rPr>
        <w:t>宜，打造亮点特色，打造“小菌园”“小瓜园”，加快培育“一村一品”专业村（如拉林镇太平村（白菜），牛家镇政新村（西瓜）），提升打造农业增长新亮点。</w:t>
      </w:r>
    </w:p>
    <w:p w14:paraId="56311B1A">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val="en-US" w:eastAsia="zh-CN"/>
        </w:rPr>
      </w:pPr>
      <w:r>
        <w:rPr>
          <w:rFonts w:hint="eastAsia" w:ascii="仿宋_GB2312" w:hAnsi="仿宋_GB2312" w:eastAsia="仿宋_GB2312" w:cs="仿宋_GB2312"/>
          <w:b/>
          <w:bCs/>
          <w:snapToGrid w:val="0"/>
          <w:kern w:val="2"/>
          <w:sz w:val="30"/>
          <w:szCs w:val="30"/>
          <w:highlight w:val="none"/>
          <w:lang w:eastAsia="zh-CN"/>
        </w:rPr>
        <w:t>构建</w:t>
      </w:r>
      <w:r>
        <w:rPr>
          <w:rFonts w:hint="eastAsia" w:ascii="仿宋_GB2312" w:hAnsi="仿宋_GB2312" w:eastAsia="仿宋_GB2312" w:cs="仿宋_GB2312"/>
          <w:b/>
          <w:bCs/>
          <w:snapToGrid w:val="0"/>
          <w:kern w:val="2"/>
          <w:sz w:val="30"/>
          <w:szCs w:val="30"/>
          <w:highlight w:val="none"/>
          <w:lang w:val="en-US" w:eastAsia="zh-CN"/>
        </w:rPr>
        <w:t>全域旅游</w:t>
      </w:r>
      <w:r>
        <w:rPr>
          <w:rFonts w:hint="eastAsia" w:ascii="仿宋_GB2312" w:hAnsi="仿宋_GB2312" w:eastAsia="仿宋_GB2312" w:cs="仿宋_GB2312"/>
          <w:b/>
          <w:bCs/>
          <w:snapToGrid w:val="0"/>
          <w:kern w:val="2"/>
          <w:sz w:val="30"/>
          <w:szCs w:val="30"/>
          <w:highlight w:val="none"/>
          <w:lang w:eastAsia="zh-CN"/>
        </w:rPr>
        <w:t>发展</w:t>
      </w:r>
      <w:r>
        <w:rPr>
          <w:rFonts w:hint="eastAsia" w:ascii="仿宋_GB2312" w:hAnsi="仿宋_GB2312" w:eastAsia="仿宋_GB2312" w:cs="仿宋_GB2312"/>
          <w:b/>
          <w:bCs/>
          <w:snapToGrid w:val="0"/>
          <w:kern w:val="2"/>
          <w:sz w:val="30"/>
          <w:szCs w:val="30"/>
          <w:highlight w:val="none"/>
          <w:lang w:val="en-US" w:eastAsia="zh-CN"/>
        </w:rPr>
        <w:t>新</w:t>
      </w:r>
      <w:r>
        <w:rPr>
          <w:rFonts w:hint="eastAsia" w:ascii="仿宋_GB2312" w:hAnsi="仿宋_GB2312" w:eastAsia="仿宋_GB2312" w:cs="仿宋_GB2312"/>
          <w:b/>
          <w:bCs/>
          <w:snapToGrid w:val="0"/>
          <w:kern w:val="2"/>
          <w:sz w:val="30"/>
          <w:szCs w:val="30"/>
          <w:highlight w:val="none"/>
          <w:lang w:eastAsia="zh-CN"/>
        </w:rPr>
        <w:t>格局。</w:t>
      </w:r>
      <w:r>
        <w:rPr>
          <w:rFonts w:hint="eastAsia" w:ascii="仿宋_GB2312" w:hAnsi="仿宋_GB2312" w:eastAsia="仿宋_GB2312" w:cs="仿宋_GB2312"/>
          <w:b w:val="0"/>
          <w:bCs w:val="0"/>
          <w:snapToGrid/>
          <w:kern w:val="2"/>
          <w:sz w:val="30"/>
          <w:szCs w:val="30"/>
          <w:highlight w:val="none"/>
          <w:lang w:val="en-US" w:eastAsia="zh-CN"/>
        </w:rPr>
        <w:t>加快制定</w:t>
      </w:r>
      <w:r>
        <w:rPr>
          <w:rFonts w:hint="eastAsia" w:ascii="仿宋_GB2312" w:hAnsi="仿宋_GB2312" w:eastAsia="仿宋_GB2312" w:cs="仿宋_GB2312"/>
          <w:b w:val="0"/>
          <w:bCs w:val="0"/>
          <w:snapToGrid/>
          <w:kern w:val="2"/>
          <w:sz w:val="30"/>
          <w:szCs w:val="30"/>
          <w:highlight w:val="none"/>
          <w:lang w:eastAsia="zh-CN"/>
        </w:rPr>
        <w:t>《五常市农文旅融合发展三年行动方案》，通过开展“创建全国休闲农业重点县”等载体，以乔府大院为示范引领，培育创建一批“全国休闲农业与乡村旅游星级企业（园区）”</w:t>
      </w:r>
      <w:r>
        <w:rPr>
          <w:rFonts w:hint="eastAsia" w:ascii="仿宋_GB2312" w:hAnsi="仿宋_GB2312" w:eastAsia="仿宋_GB2312" w:cs="仿宋_GB2312"/>
          <w:b w:val="0"/>
          <w:bCs w:val="0"/>
          <w:snapToGrid/>
          <w:kern w:val="2"/>
          <w:sz w:val="30"/>
          <w:szCs w:val="30"/>
          <w:highlight w:val="none"/>
          <w:lang w:val="en-US" w:eastAsia="zh-CN"/>
        </w:rPr>
        <w:t>。</w:t>
      </w:r>
      <w:r>
        <w:rPr>
          <w:rFonts w:hint="eastAsia" w:ascii="仿宋_GB2312" w:hAnsi="仿宋_GB2312" w:eastAsia="仿宋_GB2312" w:cs="仿宋_GB2312"/>
          <w:snapToGrid/>
          <w:kern w:val="2"/>
          <w:sz w:val="30"/>
          <w:szCs w:val="30"/>
          <w:highlight w:val="none"/>
          <w:lang w:val="en-US" w:eastAsia="zh-CN"/>
        </w:rPr>
        <w:t>建设“凤凰山森林公园”“雪谷穿越”“龙凤国家森林公园”三大旅游品牌。优化旅游空间发展格局，构建“一核、一带、三线、四区”多层次、多功能、结构优化、具有市场竞争力的全域旅游发展新格局。以现代农业种养体系为基础，结合稻米、中药产业链特点，整体谋划培育稻乡文化体验游、中药康养休闲游等旅游产品，联合开发文化纪念品、功能保健品，配套生产性服务业和生活性服务业，形成现代乡村旅游产业体系。围绕“观稻海、闻稻香、品五常大米”等主题，综合利用人文资源要素，开发五常稻乡旅游品牌。开发水稻育苗体验、水稻种植体验、水稻收割体验、稻米加工体验和稻田观光旅游等五常稻乡旅游项目。</w:t>
      </w:r>
    </w:p>
    <w:p w14:paraId="620ABA04">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both"/>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highlight w:val="none"/>
          <w:lang w:val="en-US" w:eastAsia="zh-CN"/>
        </w:rPr>
        <w:t>大力发展战新产业和特色产业</w:t>
      </w:r>
      <w:r>
        <w:rPr>
          <w:rFonts w:hint="eastAsia" w:ascii="仿宋_GB2312" w:hAnsi="仿宋_GB2312" w:eastAsia="仿宋_GB2312" w:cs="仿宋_GB2312"/>
          <w:b w:val="0"/>
          <w:bCs w:val="0"/>
          <w:sz w:val="30"/>
          <w:szCs w:val="30"/>
          <w:highlight w:val="none"/>
          <w:lang w:val="en-US" w:eastAsia="zh-CN"/>
        </w:rPr>
        <w:t>。围绕发展新技术、新产业、新业态、新模式，做优做强一批战略性新兴产业基地和特色产业基地，加快推动新一代信息技术、新能源产业、生物医药等发展成为新的支柱产业</w:t>
      </w:r>
      <w:r>
        <w:rPr>
          <w:rFonts w:hint="eastAsia" w:ascii="仿宋_GB2312" w:hAnsi="仿宋_GB2312" w:eastAsia="仿宋_GB2312" w:cs="仿宋_GB2312"/>
          <w:b/>
          <w:bCs/>
          <w:snapToGrid/>
          <w:kern w:val="2"/>
          <w:sz w:val="30"/>
          <w:szCs w:val="30"/>
          <w:highlight w:val="none"/>
          <w:lang w:val="en-US" w:eastAsia="zh-CN"/>
        </w:rPr>
        <w:t>。</w:t>
      </w:r>
      <w:r>
        <w:rPr>
          <w:rFonts w:hint="eastAsia" w:ascii="仿宋_GB2312" w:hAnsi="仿宋_GB2312" w:eastAsia="仿宋_GB2312" w:cs="仿宋_GB2312"/>
          <w:snapToGrid/>
          <w:kern w:val="2"/>
          <w:sz w:val="30"/>
          <w:szCs w:val="30"/>
          <w:highlight w:val="none"/>
          <w:lang w:val="en-US" w:eastAsia="zh-CN"/>
        </w:rPr>
        <w:t>推进特色生物医药产业园建设，推动中药提取物、中药配方颗粒的规范化发展，研发推广中药制药、中药加工炮制、医疗机构使用的现代与传统相结合的技术及系列设备，支持新型保健药品、保健食品的生产和品牌创建。</w:t>
      </w:r>
      <w:r>
        <w:rPr>
          <w:rFonts w:hint="eastAsia" w:ascii="仿宋_GB2312" w:hAnsi="仿宋_GB2312" w:eastAsia="仿宋_GB2312" w:cs="仿宋_GB2312"/>
          <w:b w:val="0"/>
          <w:bCs w:val="0"/>
          <w:sz w:val="30"/>
          <w:szCs w:val="30"/>
          <w:highlight w:val="none"/>
          <w:lang w:val="en-US" w:eastAsia="zh-CN"/>
        </w:rPr>
        <w:t>积极实施两化深度融合战略，以智能制造、绿色制造为主攻方向，以信息技术应用为手段，大力推动传统产业改造升级。加快发展智能制造，加强面向智能制造发展的新一代信息技术开发应用。到2030年，形成高端装备、节能环保、新能源和生物医药为主的先进制造产业体系。</w:t>
      </w:r>
    </w:p>
    <w:p w14:paraId="3EA042DF">
      <w:pPr>
        <w:widowControl/>
        <w:kinsoku/>
        <w:autoSpaceDE/>
        <w:autoSpaceDN/>
        <w:adjustRightInd/>
        <w:snapToGrid/>
        <w:spacing w:line="360" w:lineRule="auto"/>
        <w:ind w:firstLine="602" w:firstLineChars="200"/>
        <w:jc w:val="both"/>
        <w:textAlignment w:val="auto"/>
        <w:rPr>
          <w:rFonts w:hint="eastAsia" w:ascii="仿宋_GB2312" w:hAnsi="仿宋_GB2312" w:eastAsia="仿宋_GB2312" w:cs="仿宋_GB2312"/>
          <w:bCs/>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促进绿色商业服务业发展。</w:t>
      </w:r>
      <w:r>
        <w:rPr>
          <w:rFonts w:hint="eastAsia" w:ascii="仿宋_GB2312" w:hAnsi="仿宋_GB2312" w:eastAsia="仿宋_GB2312" w:cs="仿宋_GB2312"/>
          <w:bCs/>
          <w:snapToGrid/>
          <w:kern w:val="2"/>
          <w:sz w:val="30"/>
          <w:szCs w:val="30"/>
          <w:highlight w:val="none"/>
          <w:lang w:eastAsia="zh-CN"/>
        </w:rPr>
        <w:t>持续做优</w:t>
      </w:r>
      <w:r>
        <w:rPr>
          <w:rFonts w:hint="eastAsia" w:ascii="仿宋_GB2312" w:hAnsi="仿宋_GB2312" w:eastAsia="仿宋_GB2312" w:cs="仿宋_GB2312"/>
          <w:bCs/>
          <w:snapToGrid/>
          <w:kern w:val="2"/>
          <w:sz w:val="30"/>
          <w:szCs w:val="30"/>
          <w:highlight w:val="none"/>
          <w:lang w:val="en-US" w:eastAsia="zh-CN"/>
        </w:rPr>
        <w:t>全市</w:t>
      </w:r>
      <w:r>
        <w:rPr>
          <w:rFonts w:hint="eastAsia" w:ascii="仿宋_GB2312" w:hAnsi="仿宋_GB2312" w:eastAsia="仿宋_GB2312" w:cs="仿宋_GB2312"/>
          <w:bCs/>
          <w:snapToGrid/>
          <w:kern w:val="2"/>
          <w:sz w:val="30"/>
          <w:szCs w:val="30"/>
          <w:highlight w:val="none"/>
          <w:lang w:eastAsia="zh-CN"/>
        </w:rPr>
        <w:t>商业贸易，优化商业业态，建设发展夜市集聚区、土特产集散交易中心，打造特色美食街区。推动传统商业升级改造，合理布局再生资源回收、绿色产品交易、建材家居等商品交易市场。完善</w:t>
      </w:r>
      <w:r>
        <w:rPr>
          <w:rFonts w:hint="eastAsia" w:ascii="仿宋_GB2312" w:hAnsi="仿宋_GB2312" w:eastAsia="仿宋_GB2312" w:cs="仿宋_GB2312"/>
          <w:bCs/>
          <w:snapToGrid/>
          <w:kern w:val="2"/>
          <w:sz w:val="30"/>
          <w:szCs w:val="30"/>
          <w:highlight w:val="none"/>
          <w:lang w:val="en-US" w:eastAsia="zh-CN"/>
        </w:rPr>
        <w:t>全市</w:t>
      </w:r>
      <w:r>
        <w:rPr>
          <w:rFonts w:hint="eastAsia" w:ascii="仿宋_GB2312" w:hAnsi="仿宋_GB2312" w:eastAsia="仿宋_GB2312" w:cs="仿宋_GB2312"/>
          <w:bCs/>
          <w:snapToGrid/>
          <w:kern w:val="2"/>
          <w:sz w:val="30"/>
          <w:szCs w:val="30"/>
          <w:highlight w:val="none"/>
          <w:lang w:eastAsia="zh-CN"/>
        </w:rPr>
        <w:t>连锁便利店和商贸便民服务中心，实现</w:t>
      </w:r>
      <w:r>
        <w:rPr>
          <w:rFonts w:hint="eastAsia" w:ascii="仿宋_GB2312" w:hAnsi="仿宋_GB2312" w:eastAsia="仿宋_GB2312" w:cs="仿宋_GB2312"/>
          <w:bCs/>
          <w:snapToGrid/>
          <w:kern w:val="2"/>
          <w:sz w:val="30"/>
          <w:szCs w:val="30"/>
          <w:highlight w:val="none"/>
          <w:lang w:val="en-US" w:eastAsia="zh-CN"/>
        </w:rPr>
        <w:t>市域</w:t>
      </w:r>
      <w:r>
        <w:rPr>
          <w:rFonts w:hint="eastAsia" w:ascii="仿宋_GB2312" w:hAnsi="仿宋_GB2312" w:eastAsia="仿宋_GB2312" w:cs="仿宋_GB2312"/>
          <w:bCs/>
          <w:snapToGrid/>
          <w:kern w:val="2"/>
          <w:sz w:val="30"/>
          <w:szCs w:val="30"/>
          <w:highlight w:val="none"/>
          <w:lang w:eastAsia="zh-CN"/>
        </w:rPr>
        <w:t>基本商贸设施服务全覆盖。培育壮大节能环保服务业，深化五常市生态产业示范区建设。</w:t>
      </w:r>
    </w:p>
    <w:p w14:paraId="71E18589">
      <w:pPr>
        <w:pStyle w:val="4"/>
        <w:keepNext w:val="0"/>
        <w:keepLines w:val="0"/>
        <w:widowControl w:val="0"/>
        <w:numPr>
          <w:ilvl w:val="0"/>
          <w:numId w:val="11"/>
        </w:numPr>
        <w:kinsoku/>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eastAsia="zh-CN"/>
        </w:rPr>
      </w:pPr>
      <w:bookmarkStart w:id="75" w:name="_Toc19911"/>
      <w:r>
        <w:rPr>
          <w:rFonts w:hint="eastAsia" w:ascii="仿宋_GB2312" w:hAnsi="仿宋_GB2312" w:eastAsia="仿宋_GB2312" w:cs="仿宋_GB2312"/>
          <w:snapToGrid/>
          <w:kern w:val="2"/>
          <w:sz w:val="30"/>
          <w:szCs w:val="30"/>
          <w:highlight w:val="none"/>
          <w:lang w:eastAsia="zh-CN"/>
        </w:rPr>
        <w:t>稳妥推进能源绿色低碳转型</w:t>
      </w:r>
      <w:bookmarkEnd w:id="75"/>
    </w:p>
    <w:p w14:paraId="0F9EFE63">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bCs/>
          <w:snapToGrid/>
          <w:kern w:val="2"/>
          <w:sz w:val="30"/>
          <w:szCs w:val="30"/>
          <w:highlight w:val="none"/>
          <w:lang w:eastAsia="zh-CN"/>
        </w:rPr>
      </w:pPr>
      <w:r>
        <w:rPr>
          <w:rFonts w:hint="eastAsia" w:ascii="仿宋_GB2312" w:hAnsi="仿宋_GB2312" w:eastAsia="仿宋_GB2312" w:cs="仿宋_GB2312"/>
          <w:b/>
          <w:snapToGrid/>
          <w:kern w:val="2"/>
          <w:sz w:val="30"/>
          <w:szCs w:val="30"/>
          <w:highlight w:val="none"/>
          <w:lang w:eastAsia="zh-CN"/>
        </w:rPr>
        <w:t>加快推进能源绿色低碳转型。</w:t>
      </w:r>
      <w:r>
        <w:rPr>
          <w:rFonts w:hint="eastAsia" w:ascii="仿宋_GB2312" w:hAnsi="仿宋_GB2312" w:eastAsia="仿宋_GB2312" w:cs="仿宋_GB2312"/>
          <w:bCs/>
          <w:snapToGrid/>
          <w:kern w:val="2"/>
          <w:sz w:val="30"/>
          <w:szCs w:val="30"/>
          <w:highlight w:val="none"/>
          <w:lang w:eastAsia="zh-CN"/>
        </w:rPr>
        <w:t>以清洁低碳、安全高效为目标，优化能源结构和布局，提高能源开发利用效率。大力发展可再生能源，积极发展小型分布式风电和光伏，推进生物质能综合开发利用。利用先进技术改造升级城乡电网，保障</w:t>
      </w:r>
      <w:r>
        <w:rPr>
          <w:rFonts w:hint="eastAsia" w:ascii="仿宋_GB2312" w:hAnsi="仿宋_GB2312" w:eastAsia="仿宋_GB2312" w:cs="仿宋_GB2312"/>
          <w:bCs/>
          <w:snapToGrid/>
          <w:kern w:val="2"/>
          <w:sz w:val="30"/>
          <w:szCs w:val="30"/>
          <w:highlight w:val="none"/>
          <w:lang w:val="en-US" w:eastAsia="zh-CN"/>
        </w:rPr>
        <w:t>重点</w:t>
      </w:r>
      <w:r>
        <w:rPr>
          <w:rFonts w:hint="eastAsia" w:ascii="仿宋_GB2312" w:hAnsi="仿宋_GB2312" w:eastAsia="仿宋_GB2312" w:cs="仿宋_GB2312"/>
          <w:bCs/>
          <w:snapToGrid/>
          <w:kern w:val="2"/>
          <w:sz w:val="30"/>
          <w:szCs w:val="30"/>
          <w:highlight w:val="none"/>
          <w:lang w:eastAsia="zh-CN"/>
        </w:rPr>
        <w:t>区域用电需求，着力构建适应新能源电力接入的智能电网，合理布局储能基地。</w:t>
      </w:r>
    </w:p>
    <w:p w14:paraId="263AFBDF">
      <w:pPr>
        <w:keepNext w:val="0"/>
        <w:keepLines w:val="0"/>
        <w:pageBreakBefore w:val="0"/>
        <w:widowControl w:val="0"/>
        <w:kinsoku/>
        <w:wordWrap/>
        <w:overflowPunct/>
        <w:topLinePunct w:val="0"/>
        <w:autoSpaceDE/>
        <w:autoSpaceDN/>
        <w:bidi w:val="0"/>
        <w:adjustRightInd w:val="0"/>
        <w:snapToGrid w:val="0"/>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val="en-US" w:eastAsia="zh-CN"/>
        </w:rPr>
      </w:pPr>
      <w:r>
        <w:rPr>
          <w:rFonts w:hint="eastAsia" w:ascii="仿宋_GB2312" w:hAnsi="仿宋_GB2312" w:eastAsia="仿宋_GB2312" w:cs="仿宋_GB2312"/>
          <w:b/>
          <w:bCs/>
          <w:snapToGrid/>
          <w:kern w:val="2"/>
          <w:sz w:val="30"/>
          <w:szCs w:val="30"/>
          <w:highlight w:val="none"/>
          <w:lang w:val="en-US" w:eastAsia="zh-CN"/>
        </w:rPr>
        <w:t>不断推进清洁能源产业。</w:t>
      </w:r>
      <w:r>
        <w:rPr>
          <w:rFonts w:hint="eastAsia" w:ascii="仿宋_GB2312" w:hAnsi="仿宋_GB2312" w:eastAsia="仿宋_GB2312" w:cs="仿宋_GB2312"/>
          <w:snapToGrid/>
          <w:kern w:val="2"/>
          <w:sz w:val="30"/>
          <w:szCs w:val="30"/>
          <w:highlight w:val="none"/>
          <w:lang w:val="en-US" w:eastAsia="zh-CN"/>
        </w:rPr>
        <w:t>加快可再生能源产业基地建设，突出风力发电装备、太阳能光伏和新能源汽车三大领域。培育和引进节能环保装备、水污染和大气污染防治装备、固体废弃物处理和资源综合利用装备等产业。重点发展中小型风力发电机及其辅助零部件，风光互补发电系统等；加强新一代信息技术等智能制造技术的应用，全面提升风电机组性能和智能化水平。积极引入和嫁接“互联网+”技术，发展新能源汽车38动力系统设计、整车控制系统开发、电气集成和动力电池管理系统等项目。</w:t>
      </w:r>
    </w:p>
    <w:p w14:paraId="4F6F0831">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bCs/>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加快发展绿色物流配送。</w:t>
      </w:r>
      <w:r>
        <w:rPr>
          <w:rFonts w:hint="eastAsia" w:ascii="仿宋_GB2312" w:hAnsi="仿宋_GB2312" w:eastAsia="仿宋_GB2312" w:cs="仿宋_GB2312"/>
          <w:bCs/>
          <w:snapToGrid/>
          <w:kern w:val="2"/>
          <w:sz w:val="30"/>
          <w:szCs w:val="30"/>
          <w:highlight w:val="none"/>
          <w:lang w:eastAsia="zh-CN"/>
        </w:rPr>
        <w:t>以共享物流为手段，通过物流运作中大数据优化计算分流和合流，实现集中配送或共同配送，减少配送车辆配送次数，杜绝配送车辆空跑，实现物流运作绿色化。建成农特产品冷链物流市场，健全城乡消费品、工业品、农资下乡和农特产品进城的双向物流配送体系。落实邮件快件绿色包装规范要求，优先采用可重复使用、易回收利用包装物，优化物品包装，减少包装物使用，积极回收利用包装物。鼓励和引导消费者使用绿色包装和减量包装。</w:t>
      </w:r>
    </w:p>
    <w:p w14:paraId="4B192634">
      <w:pPr>
        <w:pStyle w:val="4"/>
        <w:numPr>
          <w:ilvl w:val="0"/>
          <w:numId w:val="11"/>
        </w:numPr>
        <w:bidi w:val="0"/>
        <w:ind w:left="425" w:leftChars="0" w:hanging="425" w:firstLineChars="0"/>
        <w:rPr>
          <w:rFonts w:hint="eastAsia" w:ascii="仿宋_GB2312" w:hAnsi="仿宋_GB2312" w:eastAsia="仿宋_GB2312" w:cs="仿宋_GB2312"/>
          <w:sz w:val="30"/>
          <w:szCs w:val="30"/>
        </w:rPr>
      </w:pPr>
      <w:bookmarkStart w:id="76" w:name="_Toc17253"/>
      <w:r>
        <w:rPr>
          <w:rFonts w:hint="eastAsia" w:ascii="仿宋_GB2312" w:hAnsi="仿宋_GB2312" w:eastAsia="仿宋_GB2312" w:cs="仿宋_GB2312"/>
          <w:sz w:val="30"/>
          <w:szCs w:val="30"/>
        </w:rPr>
        <w:t>加强重点领域节能降碳发展</w:t>
      </w:r>
      <w:bookmarkEnd w:id="76"/>
    </w:p>
    <w:p w14:paraId="62FDC99B">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kern w:val="2"/>
          <w:sz w:val="30"/>
          <w:szCs w:val="30"/>
          <w:highlight w:val="none"/>
          <w:lang w:val="en-US" w:eastAsia="zh-CN" w:bidi="ar-SA"/>
        </w:rPr>
      </w:pPr>
      <w:r>
        <w:rPr>
          <w:rFonts w:hint="eastAsia" w:ascii="仿宋_GB2312" w:hAnsi="仿宋_GB2312" w:eastAsia="仿宋_GB2312" w:cs="仿宋_GB2312"/>
          <w:b/>
          <w:bCs/>
          <w:kern w:val="2"/>
          <w:sz w:val="30"/>
          <w:szCs w:val="30"/>
          <w:highlight w:val="none"/>
          <w:lang w:val="en-US" w:eastAsia="zh-CN" w:bidi="ar-SA"/>
        </w:rPr>
        <w:t>推进农业领域减排固碳。</w:t>
      </w:r>
      <w:r>
        <w:rPr>
          <w:rFonts w:hint="eastAsia" w:ascii="仿宋_GB2312" w:hAnsi="仿宋_GB2312" w:eastAsia="仿宋_GB2312" w:cs="仿宋_GB2312"/>
          <w:kern w:val="2"/>
          <w:sz w:val="30"/>
          <w:szCs w:val="30"/>
          <w:highlight w:val="none"/>
          <w:lang w:val="en-US" w:eastAsia="zh-CN" w:bidi="ar-SA"/>
        </w:rPr>
        <w:t>在保障粮食安全、重要农产品有效供给、农业高质量发展的基础上，加强对碳排放的科学预测和充分研判。以绿色低碳技术创新为支撑，优化种养结构，提高生产效率，减少温室气体排放。改善土壤质量，提高农田和草地固碳增汇能力。推进可再生能源替代，抵扣生产生活能源碳排放。</w:t>
      </w:r>
    </w:p>
    <w:p w14:paraId="564BF0D6">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bCs/>
          <w:snapToGrid/>
          <w:kern w:val="2"/>
          <w:sz w:val="30"/>
          <w:szCs w:val="30"/>
          <w:highlight w:val="none"/>
          <w:lang w:eastAsia="zh-CN"/>
        </w:rPr>
      </w:pPr>
      <w:r>
        <w:rPr>
          <w:rFonts w:hint="eastAsia" w:ascii="仿宋_GB2312" w:hAnsi="仿宋_GB2312" w:eastAsia="仿宋_GB2312" w:cs="仿宋_GB2312"/>
          <w:b/>
          <w:snapToGrid/>
          <w:kern w:val="2"/>
          <w:sz w:val="30"/>
          <w:szCs w:val="30"/>
          <w:highlight w:val="none"/>
          <w:lang w:eastAsia="zh-CN"/>
        </w:rPr>
        <w:t>促进工业节能降碳增效。</w:t>
      </w:r>
      <w:r>
        <w:rPr>
          <w:rFonts w:hint="eastAsia" w:ascii="仿宋_GB2312" w:hAnsi="仿宋_GB2312" w:eastAsia="仿宋_GB2312" w:cs="仿宋_GB2312"/>
          <w:bCs/>
          <w:snapToGrid/>
          <w:kern w:val="2"/>
          <w:sz w:val="30"/>
          <w:szCs w:val="30"/>
          <w:highlight w:val="none"/>
          <w:lang w:eastAsia="zh-CN"/>
        </w:rPr>
        <w:t>以建材行业为重点，加强产能置换监管，加快低效产能退出，严禁新增水泥熟料、平板玻璃产能，引导建材行业向轻型化、集约化、制品化转型。针对</w:t>
      </w:r>
      <w:r>
        <w:rPr>
          <w:rFonts w:hint="eastAsia" w:ascii="仿宋_GB2312" w:hAnsi="仿宋_GB2312" w:eastAsia="仿宋_GB2312" w:cs="仿宋_GB2312"/>
          <w:bCs/>
          <w:snapToGrid/>
          <w:kern w:val="2"/>
          <w:sz w:val="30"/>
          <w:szCs w:val="30"/>
          <w:highlight w:val="none"/>
          <w:lang w:val="en-US" w:eastAsia="zh-CN"/>
        </w:rPr>
        <w:t>五常市天宝热力有限公司、五常市金山热力有限公司</w:t>
      </w:r>
      <w:r>
        <w:rPr>
          <w:rFonts w:hint="eastAsia" w:ascii="仿宋_GB2312" w:hAnsi="仿宋_GB2312" w:eastAsia="仿宋_GB2312" w:cs="仿宋_GB2312"/>
          <w:bCs/>
          <w:snapToGrid/>
          <w:kern w:val="2"/>
          <w:sz w:val="30"/>
          <w:szCs w:val="30"/>
          <w:highlight w:val="none"/>
          <w:lang w:eastAsia="zh-CN"/>
        </w:rPr>
        <w:t>重点用能企业，加快实施节能降碳改造，推动企业产品结构、生产工艺、技术装备优化升级，推进能源梯级利用和余热余压回收利用；督促完善节能减排管理制度，加快推行合同能源管理。加强重点用能设备节能审查和日常监管，强化生产、经营、销售、使用、报废全链条管理。</w:t>
      </w:r>
      <w:r>
        <w:rPr>
          <w:rFonts w:hint="eastAsia" w:ascii="仿宋_GB2312" w:hAnsi="仿宋_GB2312" w:eastAsia="仿宋_GB2312" w:cs="仿宋_GB2312"/>
          <w:snapToGrid/>
          <w:kern w:val="2"/>
          <w:sz w:val="30"/>
          <w:szCs w:val="30"/>
          <w:highlight w:val="none"/>
          <w:lang w:eastAsia="zh-CN"/>
        </w:rPr>
        <w:t>积极推动企业清洁生产改造，制定清洁化改造提升方案，加强企业清洁生产管理，将清洁生产实施情况纳入企业环保绩效考核和企业环境行为评价范围。构建绿色制造体系，优先推动企业开展绿色示范工厂创建，</w:t>
      </w:r>
      <w:r>
        <w:rPr>
          <w:rFonts w:hint="eastAsia" w:ascii="仿宋_GB2312" w:hAnsi="仿宋_GB2312" w:eastAsia="仿宋_GB2312" w:cs="仿宋_GB2312"/>
          <w:bCs/>
          <w:snapToGrid/>
          <w:kern w:val="2"/>
          <w:sz w:val="30"/>
          <w:szCs w:val="30"/>
          <w:highlight w:val="none"/>
          <w:lang w:eastAsia="zh-CN"/>
        </w:rPr>
        <w:t>重点支持电子电器、纺织、机械装备、汽车及配件、轻工、医药等行业企业推行产品绿色设计。到20</w:t>
      </w:r>
      <w:r>
        <w:rPr>
          <w:rFonts w:hint="eastAsia" w:ascii="仿宋_GB2312" w:hAnsi="仿宋_GB2312" w:eastAsia="仿宋_GB2312" w:cs="仿宋_GB2312"/>
          <w:bCs/>
          <w:snapToGrid/>
          <w:kern w:val="2"/>
          <w:sz w:val="30"/>
          <w:szCs w:val="30"/>
          <w:highlight w:val="none"/>
          <w:lang w:val="en-US" w:eastAsia="zh-CN"/>
        </w:rPr>
        <w:t>30</w:t>
      </w:r>
      <w:r>
        <w:rPr>
          <w:rFonts w:hint="eastAsia" w:ascii="仿宋_GB2312" w:hAnsi="仿宋_GB2312" w:eastAsia="仿宋_GB2312" w:cs="仿宋_GB2312"/>
          <w:bCs/>
          <w:snapToGrid/>
          <w:kern w:val="2"/>
          <w:sz w:val="30"/>
          <w:szCs w:val="30"/>
          <w:highlight w:val="none"/>
          <w:lang w:eastAsia="zh-CN"/>
        </w:rPr>
        <w:t>年，全</w:t>
      </w:r>
      <w:r>
        <w:rPr>
          <w:rFonts w:hint="eastAsia" w:ascii="仿宋_GB2312" w:hAnsi="仿宋_GB2312" w:eastAsia="仿宋_GB2312" w:cs="仿宋_GB2312"/>
          <w:bCs/>
          <w:snapToGrid/>
          <w:kern w:val="2"/>
          <w:sz w:val="30"/>
          <w:szCs w:val="30"/>
          <w:highlight w:val="none"/>
          <w:lang w:val="en-US" w:eastAsia="zh-CN"/>
        </w:rPr>
        <w:t>市积极</w:t>
      </w:r>
      <w:r>
        <w:rPr>
          <w:rFonts w:hint="eastAsia" w:ascii="仿宋_GB2312" w:hAnsi="仿宋_GB2312" w:eastAsia="仿宋_GB2312" w:cs="仿宋_GB2312"/>
          <w:bCs/>
          <w:snapToGrid/>
          <w:kern w:val="2"/>
          <w:sz w:val="30"/>
          <w:szCs w:val="30"/>
          <w:highlight w:val="none"/>
          <w:lang w:eastAsia="zh-CN"/>
        </w:rPr>
        <w:t>创建绿色示范企业，单位地区生产总值能耗满足上级下达目标。</w:t>
      </w:r>
    </w:p>
    <w:p w14:paraId="3C4F9A3E">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bCs/>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推动旅游产业绿色发展</w:t>
      </w:r>
      <w:r>
        <w:rPr>
          <w:rFonts w:hint="eastAsia" w:ascii="仿宋_GB2312" w:hAnsi="仿宋_GB2312" w:eastAsia="仿宋_GB2312" w:cs="仿宋_GB2312"/>
          <w:b/>
          <w:snapToGrid/>
          <w:kern w:val="2"/>
          <w:sz w:val="30"/>
          <w:szCs w:val="30"/>
          <w:highlight w:val="none"/>
          <w:lang w:eastAsia="zh-CN"/>
        </w:rPr>
        <w:t>。</w:t>
      </w:r>
      <w:r>
        <w:rPr>
          <w:rFonts w:hint="eastAsia" w:ascii="仿宋_GB2312" w:hAnsi="仿宋_GB2312" w:eastAsia="仿宋_GB2312" w:cs="仿宋_GB2312"/>
          <w:bCs/>
          <w:snapToGrid/>
          <w:kern w:val="2"/>
          <w:sz w:val="30"/>
          <w:szCs w:val="30"/>
          <w:highlight w:val="none"/>
          <w:lang w:eastAsia="zh-CN"/>
        </w:rPr>
        <w:t>规范旅游开发行为，鼓励旅游景区在旅游基础设施建设、旅游产品开发等方面实施绿色标准，采用绿色、低碳、环保材料，使用可再生能源、节能环保交通工具。制定发布旅游者绿色旅游消费公约或指南，鼓励游客在旅游过程中自带洗漱用品、节水节电、参与光盘行动。推广节能节水产品和技术，加强旅游景区废水收集处理。加快推进星级酒店等旅游景点和商业场所生活垃圾分类，重点景区景点餐饮堂食服务禁止使用不可降解一次性餐具。</w:t>
      </w:r>
    </w:p>
    <w:p w14:paraId="6C0B43AB">
      <w:pPr>
        <w:pStyle w:val="4"/>
        <w:numPr>
          <w:ilvl w:val="0"/>
          <w:numId w:val="11"/>
        </w:numPr>
        <w:bidi w:val="0"/>
        <w:ind w:left="425" w:leftChars="0" w:hanging="425" w:firstLineChars="0"/>
        <w:rPr>
          <w:rFonts w:hint="eastAsia" w:ascii="仿宋_GB2312" w:hAnsi="仿宋_GB2312" w:eastAsia="仿宋_GB2312" w:cs="仿宋_GB2312"/>
          <w:sz w:val="30"/>
          <w:szCs w:val="30"/>
        </w:rPr>
      </w:pPr>
      <w:bookmarkStart w:id="77" w:name="_Toc25247"/>
      <w:r>
        <w:rPr>
          <w:rFonts w:hint="eastAsia" w:ascii="仿宋_GB2312" w:hAnsi="仿宋_GB2312" w:eastAsia="仿宋_GB2312" w:cs="仿宋_GB2312"/>
          <w:sz w:val="30"/>
          <w:szCs w:val="30"/>
        </w:rPr>
        <w:t>促进资源节约集约高效利用</w:t>
      </w:r>
      <w:bookmarkEnd w:id="77"/>
    </w:p>
    <w:p w14:paraId="4E430166">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大力推广绿色种养殖模式。</w:t>
      </w:r>
      <w:r>
        <w:rPr>
          <w:rFonts w:hint="eastAsia" w:ascii="仿宋_GB2312" w:hAnsi="仿宋_GB2312" w:eastAsia="仿宋_GB2312" w:cs="仿宋_GB2312"/>
          <w:snapToGrid/>
          <w:kern w:val="2"/>
          <w:sz w:val="30"/>
          <w:szCs w:val="30"/>
          <w:highlight w:val="none"/>
          <w:lang w:eastAsia="zh-CN"/>
        </w:rPr>
        <w:t>加大测土配方施肥实施力度，推广缓释肥料、生物肥料等高效新型肥料，推广秸秆还田、沼渣沼液还田、绿肥种植等技术，扶持有机肥产业发展，统筹推进化肥农药减量增效、畜禽养殖废弃物资源化利用、果菜有机肥替代化肥等农业绿色发展行动。积极开展区域性残膜回收与综合利用示范工程建设，加快可降解地膜推广应用，试点实施可降解地膜使用的奖补政策。到20</w:t>
      </w:r>
      <w:r>
        <w:rPr>
          <w:rFonts w:hint="eastAsia" w:ascii="仿宋_GB2312" w:hAnsi="仿宋_GB2312" w:eastAsia="仿宋_GB2312" w:cs="仿宋_GB2312"/>
          <w:snapToGrid/>
          <w:kern w:val="2"/>
          <w:sz w:val="30"/>
          <w:szCs w:val="30"/>
          <w:highlight w:val="none"/>
          <w:lang w:val="en-US" w:eastAsia="zh-CN"/>
        </w:rPr>
        <w:t>30</w:t>
      </w:r>
      <w:r>
        <w:rPr>
          <w:rFonts w:hint="eastAsia" w:ascii="仿宋_GB2312" w:hAnsi="仿宋_GB2312" w:eastAsia="仿宋_GB2312" w:cs="仿宋_GB2312"/>
          <w:snapToGrid/>
          <w:kern w:val="2"/>
          <w:sz w:val="30"/>
          <w:szCs w:val="30"/>
          <w:highlight w:val="none"/>
          <w:lang w:eastAsia="zh-CN"/>
        </w:rPr>
        <w:t>年，全</w:t>
      </w:r>
      <w:r>
        <w:rPr>
          <w:rFonts w:hint="eastAsia" w:ascii="仿宋_GB2312" w:hAnsi="仿宋_GB2312" w:eastAsia="仿宋_GB2312" w:cs="仿宋_GB2312"/>
          <w:snapToGrid/>
          <w:kern w:val="2"/>
          <w:sz w:val="30"/>
          <w:szCs w:val="30"/>
          <w:highlight w:val="none"/>
          <w:lang w:val="en-US" w:eastAsia="zh-CN"/>
        </w:rPr>
        <w:t>市</w:t>
      </w:r>
      <w:r>
        <w:rPr>
          <w:rFonts w:hint="eastAsia" w:ascii="仿宋_GB2312" w:hAnsi="仿宋_GB2312" w:eastAsia="仿宋_GB2312" w:cs="仿宋_GB2312"/>
          <w:snapToGrid/>
          <w:kern w:val="2"/>
          <w:sz w:val="30"/>
          <w:szCs w:val="30"/>
          <w:highlight w:val="none"/>
          <w:lang w:eastAsia="zh-CN"/>
        </w:rPr>
        <w:t>测土配方施肥技术推广覆盖率达到100%，当季农田地膜回收率达到9</w:t>
      </w:r>
      <w:r>
        <w:rPr>
          <w:rFonts w:hint="eastAsia" w:ascii="仿宋_GB2312" w:hAnsi="仿宋_GB2312" w:eastAsia="仿宋_GB2312" w:cs="仿宋_GB2312"/>
          <w:snapToGrid/>
          <w:kern w:val="2"/>
          <w:sz w:val="30"/>
          <w:szCs w:val="30"/>
          <w:highlight w:val="none"/>
          <w:lang w:val="en-US" w:eastAsia="zh-CN"/>
        </w:rPr>
        <w:t>5</w:t>
      </w:r>
      <w:r>
        <w:rPr>
          <w:rFonts w:hint="eastAsia" w:ascii="仿宋_GB2312" w:hAnsi="仿宋_GB2312" w:eastAsia="仿宋_GB2312" w:cs="仿宋_GB2312"/>
          <w:snapToGrid/>
          <w:kern w:val="2"/>
          <w:sz w:val="30"/>
          <w:szCs w:val="30"/>
          <w:highlight w:val="none"/>
          <w:lang w:eastAsia="zh-CN"/>
        </w:rPr>
        <w:t>%以上。积极推广病虫害绿色防控技术，推进病虫害专业化统防统治，推广应用高效低毒低残留农药、兽药和饲料添加剂，开展生物防治、生物农药应用试点，化肥、农药、兽用抗菌药使用量实现“零增长”。</w:t>
      </w:r>
    </w:p>
    <w:p w14:paraId="4782FE45">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kern w:val="0"/>
          <w:sz w:val="30"/>
          <w:szCs w:val="30"/>
          <w:highlight w:val="none"/>
          <w:lang w:val="en-US" w:eastAsia="zh-CN" w:bidi="ar-SA"/>
        </w:rPr>
      </w:pPr>
      <w:r>
        <w:rPr>
          <w:rFonts w:hint="eastAsia" w:ascii="仿宋_GB2312" w:hAnsi="仿宋_GB2312" w:eastAsia="仿宋_GB2312" w:cs="仿宋_GB2312"/>
          <w:b/>
          <w:snapToGrid/>
          <w:kern w:val="2"/>
          <w:sz w:val="30"/>
          <w:szCs w:val="30"/>
          <w:highlight w:val="none"/>
          <w:lang w:val="en-US" w:eastAsia="zh-CN"/>
        </w:rPr>
        <w:t>深入实施节水行动。</w:t>
      </w:r>
      <w:r>
        <w:rPr>
          <w:rFonts w:hint="eastAsia" w:ascii="仿宋_GB2312" w:hAnsi="仿宋_GB2312" w:eastAsia="仿宋_GB2312" w:cs="仿宋_GB2312"/>
          <w:b w:val="0"/>
          <w:bCs/>
          <w:snapToGrid/>
          <w:kern w:val="2"/>
          <w:sz w:val="30"/>
          <w:szCs w:val="30"/>
          <w:highlight w:val="none"/>
          <w:lang w:val="en-US" w:eastAsia="zh-CN"/>
        </w:rPr>
        <w:t>强化用水总量和强度双控，提升重点用水行业、产品用水效率，积极推动污水资源化利用，加强非常规水源配置利用。一是</w:t>
      </w:r>
      <w:r>
        <w:rPr>
          <w:rFonts w:hint="eastAsia" w:ascii="仿宋_GB2312" w:hAnsi="仿宋_GB2312" w:eastAsia="仿宋_GB2312" w:cs="仿宋_GB2312"/>
          <w:b w:val="0"/>
          <w:bCs/>
          <w:snapToGrid/>
          <w:kern w:val="2"/>
          <w:sz w:val="30"/>
          <w:szCs w:val="30"/>
          <w:highlight w:val="none"/>
          <w:lang w:eastAsia="zh-CN"/>
        </w:rPr>
        <w:t>大力推广节水农业技术，实</w:t>
      </w:r>
      <w:r>
        <w:rPr>
          <w:rFonts w:hint="eastAsia" w:ascii="仿宋_GB2312" w:hAnsi="仿宋_GB2312" w:eastAsia="仿宋_GB2312" w:cs="仿宋_GB2312"/>
          <w:snapToGrid/>
          <w:kern w:val="2"/>
          <w:sz w:val="30"/>
          <w:szCs w:val="30"/>
          <w:highlight w:val="none"/>
          <w:lang w:eastAsia="zh-CN"/>
        </w:rPr>
        <w:t>施农业高效节水升级改造工程，结合高标准农田建设，开展农业用水精细化管理，全面实行最严格水资源管理制度。</w:t>
      </w:r>
      <w:r>
        <w:rPr>
          <w:rFonts w:hint="eastAsia" w:ascii="仿宋_GB2312" w:hAnsi="仿宋_GB2312" w:eastAsia="仿宋_GB2312" w:cs="仿宋_GB2312"/>
          <w:bCs/>
          <w:snapToGrid/>
          <w:kern w:val="2"/>
          <w:sz w:val="30"/>
          <w:szCs w:val="30"/>
          <w:highlight w:val="none"/>
          <w:lang w:eastAsia="zh-CN"/>
        </w:rPr>
        <w:t>力争到20</w:t>
      </w:r>
      <w:r>
        <w:rPr>
          <w:rFonts w:hint="eastAsia" w:ascii="仿宋_GB2312" w:hAnsi="仿宋_GB2312" w:eastAsia="仿宋_GB2312" w:cs="仿宋_GB2312"/>
          <w:bCs/>
          <w:snapToGrid/>
          <w:kern w:val="2"/>
          <w:sz w:val="30"/>
          <w:szCs w:val="30"/>
          <w:highlight w:val="none"/>
          <w:lang w:val="en-US" w:eastAsia="zh-CN"/>
        </w:rPr>
        <w:t>30</w:t>
      </w:r>
      <w:r>
        <w:rPr>
          <w:rFonts w:hint="eastAsia" w:ascii="仿宋_GB2312" w:hAnsi="仿宋_GB2312" w:eastAsia="仿宋_GB2312" w:cs="仿宋_GB2312"/>
          <w:bCs/>
          <w:snapToGrid/>
          <w:kern w:val="2"/>
          <w:sz w:val="30"/>
          <w:szCs w:val="30"/>
          <w:highlight w:val="none"/>
          <w:lang w:eastAsia="zh-CN"/>
        </w:rPr>
        <w:t>年，</w:t>
      </w:r>
      <w:r>
        <w:rPr>
          <w:rFonts w:hint="eastAsia" w:ascii="仿宋_GB2312" w:hAnsi="仿宋_GB2312" w:eastAsia="仿宋_GB2312" w:cs="仿宋_GB2312"/>
          <w:b w:val="0"/>
          <w:bCs/>
          <w:snapToGrid/>
          <w:kern w:val="2"/>
          <w:sz w:val="30"/>
          <w:szCs w:val="30"/>
          <w:highlight w:val="none"/>
          <w:lang w:eastAsia="zh-CN"/>
        </w:rPr>
        <w:t>新建高标准农田</w:t>
      </w:r>
      <w:r>
        <w:rPr>
          <w:rFonts w:hint="eastAsia" w:ascii="仿宋_GB2312" w:hAnsi="仿宋_GB2312" w:eastAsia="仿宋_GB2312" w:cs="仿宋_GB2312"/>
          <w:b w:val="0"/>
          <w:bCs/>
          <w:snapToGrid/>
          <w:kern w:val="2"/>
          <w:sz w:val="30"/>
          <w:szCs w:val="30"/>
          <w:highlight w:val="none"/>
          <w:lang w:val="en-US" w:eastAsia="zh-CN"/>
        </w:rPr>
        <w:t>1万亩以上</w:t>
      </w:r>
      <w:r>
        <w:rPr>
          <w:rFonts w:hint="eastAsia" w:ascii="仿宋_GB2312" w:hAnsi="仿宋_GB2312" w:eastAsia="仿宋_GB2312" w:cs="仿宋_GB2312"/>
          <w:b w:val="0"/>
          <w:bCs/>
          <w:snapToGrid/>
          <w:kern w:val="2"/>
          <w:sz w:val="30"/>
          <w:szCs w:val="30"/>
          <w:highlight w:val="none"/>
          <w:lang w:eastAsia="zh-CN"/>
        </w:rPr>
        <w:t>，农业灌溉用水有效利用系数达到0.6</w:t>
      </w:r>
      <w:r>
        <w:rPr>
          <w:rFonts w:hint="eastAsia" w:ascii="仿宋_GB2312" w:hAnsi="仿宋_GB2312" w:eastAsia="仿宋_GB2312" w:cs="仿宋_GB2312"/>
          <w:b w:val="0"/>
          <w:bCs/>
          <w:snapToGrid/>
          <w:kern w:val="2"/>
          <w:sz w:val="30"/>
          <w:szCs w:val="30"/>
          <w:highlight w:val="none"/>
          <w:lang w:val="en-US" w:eastAsia="zh-CN"/>
        </w:rPr>
        <w:t>3</w:t>
      </w:r>
      <w:r>
        <w:rPr>
          <w:rFonts w:hint="eastAsia" w:ascii="仿宋_GB2312" w:hAnsi="仿宋_GB2312" w:eastAsia="仿宋_GB2312" w:cs="仿宋_GB2312"/>
          <w:b w:val="0"/>
          <w:bCs/>
          <w:snapToGrid/>
          <w:kern w:val="2"/>
          <w:sz w:val="30"/>
          <w:szCs w:val="30"/>
          <w:highlight w:val="none"/>
          <w:lang w:eastAsia="zh-CN"/>
        </w:rPr>
        <w:t>。</w:t>
      </w:r>
      <w:r>
        <w:rPr>
          <w:rFonts w:hint="eastAsia" w:ascii="仿宋_GB2312" w:hAnsi="仿宋_GB2312" w:eastAsia="仿宋_GB2312" w:cs="仿宋_GB2312"/>
          <w:b w:val="0"/>
          <w:bCs/>
          <w:kern w:val="2"/>
          <w:sz w:val="30"/>
          <w:szCs w:val="30"/>
          <w:highlight w:val="none"/>
          <w:lang w:val="en-US" w:eastAsia="zh-CN" w:bidi="ar-SA"/>
        </w:rPr>
        <w:t>二是实施工业企业节水行动。</w:t>
      </w:r>
      <w:r>
        <w:rPr>
          <w:rFonts w:hint="eastAsia" w:ascii="仿宋_GB2312" w:hAnsi="仿宋_GB2312" w:eastAsia="仿宋_GB2312" w:cs="仿宋_GB2312"/>
          <w:b w:val="0"/>
          <w:bCs/>
          <w:kern w:val="0"/>
          <w:sz w:val="30"/>
          <w:szCs w:val="30"/>
          <w:highlight w:val="none"/>
          <w:lang w:val="en-US" w:eastAsia="zh-CN" w:bidi="ar-SA"/>
        </w:rPr>
        <w:t>严禁水资源超载地区新建扩建高耗水项</w:t>
      </w:r>
      <w:r>
        <w:rPr>
          <w:rFonts w:hint="eastAsia" w:ascii="仿宋_GB2312" w:hAnsi="仿宋_GB2312" w:eastAsia="仿宋_GB2312" w:cs="仿宋_GB2312"/>
          <w:kern w:val="0"/>
          <w:sz w:val="30"/>
          <w:szCs w:val="30"/>
          <w:highlight w:val="none"/>
          <w:lang w:val="en-US" w:eastAsia="zh-CN" w:bidi="ar-SA"/>
        </w:rPr>
        <w:t>目，严格控制高耗水新建、改建、扩建项目，强化计划用水管理，推广应用先进适用节水技术装备，鼓励园区建设智慧水管理平台，实施节水管理和改造升级。到2030年，年用水量1万m</w:t>
      </w:r>
      <w:r>
        <w:rPr>
          <w:rFonts w:hint="eastAsia" w:ascii="仿宋_GB2312" w:hAnsi="仿宋_GB2312" w:eastAsia="仿宋_GB2312" w:cs="仿宋_GB2312"/>
          <w:kern w:val="0"/>
          <w:sz w:val="30"/>
          <w:szCs w:val="30"/>
          <w:highlight w:val="none"/>
          <w:vertAlign w:val="superscript"/>
          <w:lang w:val="en-US" w:eastAsia="zh-CN" w:bidi="ar-SA"/>
        </w:rPr>
        <w:t>3</w:t>
      </w:r>
      <w:r>
        <w:rPr>
          <w:rFonts w:hint="eastAsia" w:ascii="仿宋_GB2312" w:hAnsi="仿宋_GB2312" w:eastAsia="仿宋_GB2312" w:cs="仿宋_GB2312"/>
          <w:kern w:val="0"/>
          <w:sz w:val="30"/>
          <w:szCs w:val="30"/>
          <w:highlight w:val="none"/>
          <w:lang w:val="en-US" w:eastAsia="zh-CN" w:bidi="ar-SA"/>
        </w:rPr>
        <w:t>及以上的工业企业用水计划管理实现全覆盖，基本形成水资源利用与发展规模、产业结构和空间布局等协调发展的新格</w:t>
      </w:r>
      <w:r>
        <w:rPr>
          <w:rFonts w:hint="eastAsia" w:ascii="仿宋_GB2312" w:hAnsi="仿宋_GB2312" w:eastAsia="仿宋_GB2312" w:cs="仿宋_GB2312"/>
          <w:b w:val="0"/>
          <w:bCs w:val="0"/>
          <w:kern w:val="0"/>
          <w:sz w:val="30"/>
          <w:szCs w:val="30"/>
          <w:highlight w:val="none"/>
          <w:lang w:val="en-US" w:eastAsia="zh-CN" w:bidi="ar-SA"/>
        </w:rPr>
        <w:t>局。三是</w:t>
      </w:r>
      <w:r>
        <w:rPr>
          <w:rFonts w:hint="eastAsia" w:ascii="仿宋_GB2312" w:hAnsi="仿宋_GB2312" w:eastAsia="仿宋_GB2312" w:cs="仿宋_GB2312"/>
          <w:b w:val="0"/>
          <w:bCs w:val="0"/>
          <w:snapToGrid/>
          <w:kern w:val="2"/>
          <w:sz w:val="30"/>
          <w:szCs w:val="30"/>
          <w:highlight w:val="none"/>
          <w:lang w:eastAsia="zh-CN"/>
        </w:rPr>
        <w:t>开展公共领域节水。城市园林绿化宜选用适合本地区的植被，将城</w:t>
      </w:r>
      <w:r>
        <w:rPr>
          <w:rFonts w:hint="eastAsia" w:ascii="仿宋_GB2312" w:hAnsi="仿宋_GB2312" w:eastAsia="仿宋_GB2312" w:cs="仿宋_GB2312"/>
          <w:snapToGrid/>
          <w:kern w:val="2"/>
          <w:sz w:val="30"/>
          <w:szCs w:val="30"/>
          <w:highlight w:val="none"/>
          <w:lang w:eastAsia="zh-CN"/>
        </w:rPr>
        <w:t>市生活供水管网与绿化供水管网铺设相分离，分年度、有计划、有步骤地推进，对城市公共绿化、庭院绿化有条件的可使用再生水，降低新水使用定额。</w:t>
      </w:r>
      <w:r>
        <w:rPr>
          <w:rFonts w:hint="eastAsia" w:ascii="仿宋_GB2312" w:hAnsi="仿宋_GB2312" w:eastAsia="仿宋_GB2312" w:cs="仿宋_GB2312"/>
          <w:b w:val="0"/>
          <w:bCs w:val="0"/>
          <w:snapToGrid/>
          <w:kern w:val="2"/>
          <w:sz w:val="30"/>
          <w:szCs w:val="30"/>
          <w:highlight w:val="none"/>
          <w:lang w:eastAsia="zh-CN"/>
        </w:rPr>
        <w:t>严控高耗水服务业用水。</w:t>
      </w:r>
    </w:p>
    <w:p w14:paraId="4B9DB36D">
      <w:pPr>
        <w:widowControl w:val="0"/>
        <w:kinsoku/>
        <w:autoSpaceDE/>
        <w:autoSpaceDN/>
        <w:adjustRightInd/>
        <w:snapToGrid/>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eastAsia="zh-CN"/>
        </w:rPr>
      </w:pPr>
      <w:r>
        <w:rPr>
          <w:rFonts w:hint="eastAsia" w:ascii="仿宋_GB2312" w:hAnsi="仿宋_GB2312" w:eastAsia="仿宋_GB2312" w:cs="仿宋_GB2312"/>
          <w:b/>
          <w:bCs/>
          <w:snapToGrid/>
          <w:kern w:val="2"/>
          <w:sz w:val="30"/>
          <w:szCs w:val="30"/>
          <w:highlight w:val="none"/>
          <w:lang w:eastAsia="zh-CN"/>
        </w:rPr>
        <w:t>加强工业固废综合利用</w:t>
      </w:r>
      <w:r>
        <w:rPr>
          <w:rFonts w:hint="eastAsia" w:ascii="仿宋_GB2312" w:hAnsi="仿宋_GB2312" w:eastAsia="仿宋_GB2312" w:cs="仿宋_GB2312"/>
          <w:snapToGrid/>
          <w:kern w:val="2"/>
          <w:sz w:val="30"/>
          <w:szCs w:val="30"/>
          <w:highlight w:val="none"/>
          <w:lang w:eastAsia="zh-CN"/>
        </w:rPr>
        <w:t>。加强粉煤灰、炉渣、脱硫石膏、污泥等一般工业固体废物综合利用全过程管理，协同推进产废、利废和规范处置各环节。推进粉煤灰在工程建设、塌陷区治理、矿井充填以及沙漠化土地生态修复等领域利用，有序引导利用粉煤灰生产新型墙体材料、装饰装修材料等绿色建材。推广废弃路面材料和拆除垃圾原地再生利用，实施建筑垃圾分类管理、源头减量和资源化利用。到20</w:t>
      </w:r>
      <w:r>
        <w:rPr>
          <w:rFonts w:hint="eastAsia" w:ascii="仿宋_GB2312" w:hAnsi="仿宋_GB2312" w:eastAsia="仿宋_GB2312" w:cs="仿宋_GB2312"/>
          <w:snapToGrid/>
          <w:kern w:val="2"/>
          <w:sz w:val="30"/>
          <w:szCs w:val="30"/>
          <w:highlight w:val="none"/>
          <w:lang w:val="en-US" w:eastAsia="zh-CN"/>
        </w:rPr>
        <w:t>30</w:t>
      </w:r>
      <w:r>
        <w:rPr>
          <w:rFonts w:hint="eastAsia" w:ascii="仿宋_GB2312" w:hAnsi="仿宋_GB2312" w:eastAsia="仿宋_GB2312" w:cs="仿宋_GB2312"/>
          <w:snapToGrid/>
          <w:kern w:val="2"/>
          <w:sz w:val="30"/>
          <w:szCs w:val="30"/>
          <w:highlight w:val="none"/>
          <w:lang w:eastAsia="zh-CN"/>
        </w:rPr>
        <w:t>年，一般工业固体废物综合利用率保持90%以上，粉煤灰、炉渣、脱硫石膏、污泥等的综合利用能力显著提升，一般工业固体废物存量有序减少。</w:t>
      </w:r>
    </w:p>
    <w:p w14:paraId="2C44788D">
      <w:pPr>
        <w:pStyle w:val="4"/>
        <w:numPr>
          <w:ilvl w:val="0"/>
          <w:numId w:val="11"/>
        </w:numPr>
        <w:bidi w:val="0"/>
        <w:ind w:left="425" w:leftChars="0" w:hanging="425" w:firstLineChars="0"/>
        <w:rPr>
          <w:rFonts w:hint="eastAsia" w:ascii="仿宋_GB2312" w:hAnsi="仿宋_GB2312" w:eastAsia="仿宋_GB2312" w:cs="仿宋_GB2312"/>
          <w:sz w:val="30"/>
          <w:szCs w:val="30"/>
        </w:rPr>
      </w:pPr>
      <w:bookmarkStart w:id="78" w:name="_Toc24356"/>
      <w:r>
        <w:rPr>
          <w:rFonts w:hint="eastAsia" w:ascii="仿宋_GB2312" w:hAnsi="仿宋_GB2312" w:eastAsia="仿宋_GB2312" w:cs="仿宋_GB2312"/>
          <w:sz w:val="30"/>
          <w:szCs w:val="30"/>
        </w:rPr>
        <w:t>培育节能环保清洁</w:t>
      </w:r>
      <w:r>
        <w:rPr>
          <w:rFonts w:hint="eastAsia" w:ascii="仿宋_GB2312" w:hAnsi="仿宋_GB2312" w:eastAsia="仿宋_GB2312" w:cs="仿宋_GB2312"/>
          <w:sz w:val="30"/>
          <w:szCs w:val="30"/>
          <w:lang w:val="en-US" w:eastAsia="zh-CN"/>
        </w:rPr>
        <w:t>生产</w:t>
      </w:r>
      <w:r>
        <w:rPr>
          <w:rFonts w:hint="eastAsia" w:ascii="仿宋_GB2312" w:hAnsi="仿宋_GB2312" w:eastAsia="仿宋_GB2312" w:cs="仿宋_GB2312"/>
          <w:sz w:val="30"/>
          <w:szCs w:val="30"/>
        </w:rPr>
        <w:t>产业</w:t>
      </w:r>
      <w:bookmarkEnd w:id="78"/>
    </w:p>
    <w:p w14:paraId="4ACCEAF4">
      <w:pPr>
        <w:widowControl w:val="0"/>
        <w:kinsoku/>
        <w:autoSpaceDE/>
        <w:autoSpaceDN/>
        <w:spacing w:line="360" w:lineRule="auto"/>
        <w:ind w:firstLine="602" w:firstLineChars="200"/>
        <w:jc w:val="both"/>
        <w:textAlignment w:val="auto"/>
        <w:rPr>
          <w:rFonts w:hint="eastAsia" w:ascii="仿宋_GB2312" w:hAnsi="仿宋_GB2312" w:eastAsia="仿宋_GB2312" w:cs="仿宋_GB2312"/>
          <w:snapToGrid/>
          <w:kern w:val="2"/>
          <w:sz w:val="30"/>
          <w:szCs w:val="30"/>
          <w:highlight w:val="none"/>
          <w:lang w:val="en-US" w:eastAsia="zh-CN"/>
        </w:rPr>
      </w:pPr>
      <w:r>
        <w:rPr>
          <w:rFonts w:hint="eastAsia" w:ascii="仿宋_GB2312" w:hAnsi="仿宋_GB2312" w:eastAsia="仿宋_GB2312" w:cs="仿宋_GB2312"/>
          <w:b/>
          <w:bCs/>
          <w:snapToGrid/>
          <w:kern w:val="2"/>
          <w:sz w:val="30"/>
          <w:szCs w:val="30"/>
          <w:highlight w:val="none"/>
          <w:lang w:val="en-US" w:eastAsia="zh-CN"/>
        </w:rPr>
        <w:t>大力发展节能环保产业。</w:t>
      </w:r>
      <w:r>
        <w:rPr>
          <w:rFonts w:hint="eastAsia" w:ascii="仿宋_GB2312" w:hAnsi="仿宋_GB2312" w:eastAsia="仿宋_GB2312" w:cs="仿宋_GB2312"/>
          <w:snapToGrid/>
          <w:kern w:val="2"/>
          <w:sz w:val="30"/>
          <w:szCs w:val="30"/>
          <w:highlight w:val="none"/>
          <w:lang w:val="en-US" w:eastAsia="zh-CN"/>
        </w:rPr>
        <w:t>以秸秆综合利用作为主攻方向，推进源头减量、资源化、再制造、零排放和产业链接等技术发展及其产业化，提高要素、资源利用效率。加快节能技术装备升级换代，加速节能交通工具、高效节能电器和高效照明等产品研发和应用。加大先进节能环保技术、工艺研发力度，带动绿色改造升级，深入推进能源清洁高效利用、高耗能设备系统节能改造，完善推进原料优化、能源梯级利用、可循环、流程再造等工艺技术。鼓励资源循环利用，培育壮大节能环保服务产业。</w:t>
      </w:r>
    </w:p>
    <w:p w14:paraId="502E8219">
      <w:pPr>
        <w:widowControl w:val="0"/>
        <w:kinsoku/>
        <w:autoSpaceDE/>
        <w:autoSpaceDN/>
        <w:spacing w:line="360" w:lineRule="auto"/>
        <w:ind w:firstLine="602" w:firstLineChars="200"/>
        <w:jc w:val="both"/>
        <w:textAlignment w:val="auto"/>
        <w:rPr>
          <w:rFonts w:hint="eastAsia" w:ascii="仿宋_GB2312" w:hAnsi="仿宋_GB2312" w:eastAsia="仿宋_GB2312" w:cs="仿宋_GB2312"/>
          <w:b w:val="0"/>
          <w:bCs w:val="0"/>
          <w:sz w:val="30"/>
          <w:szCs w:val="30"/>
        </w:rPr>
      </w:pPr>
      <w:r>
        <w:rPr>
          <w:rFonts w:hint="eastAsia" w:ascii="仿宋_GB2312" w:hAnsi="仿宋_GB2312" w:eastAsia="仿宋_GB2312" w:cs="仿宋_GB2312"/>
          <w:b/>
          <w:bCs/>
          <w:snapToGrid/>
          <w:kern w:val="2"/>
          <w:sz w:val="30"/>
          <w:szCs w:val="30"/>
          <w:highlight w:val="none"/>
          <w:lang w:val="en-US" w:eastAsia="zh-CN"/>
        </w:rPr>
        <w:t>大力发展清洁生产产业。</w:t>
      </w:r>
      <w:r>
        <w:rPr>
          <w:rFonts w:hint="eastAsia" w:ascii="仿宋_GB2312" w:hAnsi="仿宋_GB2312" w:eastAsia="仿宋_GB2312" w:cs="仿宋_GB2312"/>
          <w:b w:val="0"/>
          <w:bCs w:val="0"/>
          <w:snapToGrid/>
          <w:kern w:val="2"/>
          <w:sz w:val="30"/>
          <w:szCs w:val="30"/>
          <w:highlight w:val="none"/>
          <w:lang w:val="en-US" w:eastAsia="zh-CN"/>
        </w:rPr>
        <w:t>在工业领域，提出推行工业产品绿色设计，引导企业改进和优化产品及包装物的设计方案，减少产品和包装物在整个生命周期对环境的影响；加快燃料原材料清洁替代，提高工业领域非化石能源利用比重。在农业领域，推动农业生产投入品减量，提升农业生产过程清洁化水平，加强农业废弃物资源化利用。在建筑领域，加快推进超低能耗、近零能耗、低碳建筑规模化发展，推进城镇既有建筑和市政基础设施节能改造。加强建筑垃圾源头管控，实施工程建设全过程绿色建造，推广使用再生建材，促进建筑垃圾资源化利用。</w:t>
      </w:r>
    </w:p>
    <w:p w14:paraId="20439F95">
      <w:pPr>
        <w:pStyle w:val="3"/>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79" w:name="_Toc11818"/>
      <w:bookmarkStart w:id="80" w:name="_Toc2983"/>
      <w:r>
        <w:rPr>
          <w:rFonts w:hint="eastAsia" w:ascii="方正楷体_GB2312" w:hAnsi="方正楷体_GB2312" w:eastAsia="方正楷体_GB2312" w:cs="方正楷体_GB2312"/>
          <w:b/>
          <w:bCs/>
          <w:snapToGrid/>
          <w:kern w:val="2"/>
          <w:szCs w:val="24"/>
          <w:highlight w:val="none"/>
          <w:lang w:eastAsia="zh-CN"/>
        </w:rPr>
        <w:t>（四）生态文化体系建设</w:t>
      </w:r>
      <w:bookmarkEnd w:id="79"/>
      <w:bookmarkEnd w:id="80"/>
    </w:p>
    <w:p w14:paraId="28E7D7A3">
      <w:pPr>
        <w:pStyle w:val="4"/>
        <w:keepNext w:val="0"/>
        <w:keepLines w:val="0"/>
        <w:pageBreakBefore w:val="0"/>
        <w:widowControl w:val="0"/>
        <w:numPr>
          <w:ilvl w:val="0"/>
          <w:numId w:val="12"/>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81" w:name="_Toc19928"/>
      <w:bookmarkStart w:id="82" w:name="_Toc28359"/>
      <w:r>
        <w:rPr>
          <w:rFonts w:hint="eastAsia" w:ascii="仿宋_GB2312" w:hAnsi="仿宋_GB2312" w:eastAsia="仿宋_GB2312" w:cs="仿宋_GB2312"/>
          <w:snapToGrid/>
          <w:kern w:val="2"/>
          <w:sz w:val="30"/>
          <w:szCs w:val="30"/>
          <w:highlight w:val="none"/>
          <w:lang w:val="en-US" w:eastAsia="zh-CN"/>
        </w:rPr>
        <w:t>倡导生活消费绿色转型</w:t>
      </w:r>
      <w:bookmarkEnd w:id="81"/>
      <w:bookmarkEnd w:id="82"/>
    </w:p>
    <w:p w14:paraId="326A1D05">
      <w:pPr>
        <w:keepNext w:val="0"/>
        <w:keepLines w:val="0"/>
        <w:pageBreakBefore w:val="0"/>
        <w:widowControl/>
        <w:kinsoku w:val="0"/>
        <w:wordWrap/>
        <w:overflowPunct/>
        <w:topLinePunct w:val="0"/>
        <w:autoSpaceDE w:val="0"/>
        <w:autoSpaceDN w:val="0"/>
        <w:bidi w:val="0"/>
        <w:adjustRightInd w:val="0"/>
        <w:snapToGrid w:val="0"/>
        <w:spacing w:line="360" w:lineRule="auto"/>
        <w:ind w:firstLine="602" w:firstLineChars="200"/>
        <w:jc w:val="both"/>
        <w:textAlignment w:val="baseline"/>
        <w:rPr>
          <w:rFonts w:hint="eastAsia" w:ascii="仿宋_GB2312" w:hAnsi="仿宋_GB2312" w:eastAsia="仿宋_GB2312" w:cs="仿宋_GB2312"/>
          <w:b w:val="0"/>
          <w:bCs w:val="0"/>
          <w:snapToGrid w:val="0"/>
          <w:color w:val="000000"/>
          <w:kern w:val="0"/>
          <w:sz w:val="30"/>
          <w:szCs w:val="30"/>
          <w:highlight w:val="none"/>
          <w:lang w:val="en-US" w:eastAsia="zh-CN" w:bidi="ar-SA"/>
        </w:rPr>
      </w:pPr>
      <w:r>
        <w:rPr>
          <w:rFonts w:hint="eastAsia" w:ascii="仿宋_GB2312" w:hAnsi="仿宋_GB2312" w:eastAsia="仿宋_GB2312" w:cs="仿宋_GB2312"/>
          <w:b/>
          <w:bCs/>
          <w:snapToGrid w:val="0"/>
          <w:color w:val="000000"/>
          <w:kern w:val="0"/>
          <w:sz w:val="30"/>
          <w:szCs w:val="30"/>
          <w:highlight w:val="none"/>
          <w:lang w:val="en-US" w:eastAsia="zh-CN" w:bidi="ar-SA"/>
        </w:rPr>
        <w:t>普及绿色消费知识。</w:t>
      </w:r>
      <w:r>
        <w:rPr>
          <w:rFonts w:hint="eastAsia" w:ascii="仿宋_GB2312" w:hAnsi="仿宋_GB2312" w:eastAsia="仿宋_GB2312" w:cs="仿宋_GB2312"/>
          <w:snapToGrid w:val="0"/>
          <w:color w:val="000000"/>
          <w:kern w:val="0"/>
          <w:sz w:val="30"/>
          <w:szCs w:val="30"/>
          <w:highlight w:val="none"/>
          <w:lang w:val="en-US" w:eastAsia="zh-CN" w:bidi="ar-SA"/>
        </w:rPr>
        <w:t>通过各类媒体和社交平台，普及绿色消费的理念、知识和技巧，让公众了解绿色消费的重要性和实施方法。</w:t>
      </w:r>
      <w:r>
        <w:rPr>
          <w:rFonts w:hint="eastAsia" w:ascii="仿宋_GB2312" w:hAnsi="仿宋_GB2312" w:eastAsia="仿宋_GB2312" w:cs="仿宋_GB2312"/>
          <w:b w:val="0"/>
          <w:bCs w:val="0"/>
          <w:snapToGrid w:val="0"/>
          <w:color w:val="000000"/>
          <w:kern w:val="0"/>
          <w:sz w:val="30"/>
          <w:szCs w:val="30"/>
          <w:highlight w:val="none"/>
          <w:lang w:val="en-US" w:eastAsia="zh-CN" w:bidi="ar-SA"/>
        </w:rPr>
        <w:t>制定并发布绿色消费指南，为公众提供可操作的绿色消费建议，引导在日常生活中做出更环保的选择。</w:t>
      </w:r>
    </w:p>
    <w:p w14:paraId="05F83B1B">
      <w:pPr>
        <w:keepNext w:val="0"/>
        <w:keepLines w:val="0"/>
        <w:pageBreakBefore w:val="0"/>
        <w:widowControl/>
        <w:kinsoku w:val="0"/>
        <w:wordWrap/>
        <w:overflowPunct/>
        <w:topLinePunct w:val="0"/>
        <w:autoSpaceDE w:val="0"/>
        <w:autoSpaceDN w:val="0"/>
        <w:bidi w:val="0"/>
        <w:adjustRightInd w:val="0"/>
        <w:snapToGrid w:val="0"/>
        <w:spacing w:line="360" w:lineRule="auto"/>
        <w:ind w:firstLine="602" w:firstLineChars="200"/>
        <w:jc w:val="both"/>
        <w:textAlignment w:val="baseline"/>
        <w:rPr>
          <w:rFonts w:hint="eastAsia" w:ascii="仿宋_GB2312" w:hAnsi="仿宋_GB2312" w:eastAsia="仿宋_GB2312" w:cs="仿宋_GB2312"/>
          <w:snapToGrid w:val="0"/>
          <w:color w:val="000000"/>
          <w:kern w:val="0"/>
          <w:sz w:val="30"/>
          <w:szCs w:val="30"/>
          <w:highlight w:val="none"/>
          <w:lang w:val="en-US" w:eastAsia="zh-CN" w:bidi="ar-SA"/>
        </w:rPr>
      </w:pPr>
      <w:r>
        <w:rPr>
          <w:rFonts w:hint="eastAsia" w:ascii="仿宋_GB2312" w:hAnsi="仿宋_GB2312" w:eastAsia="仿宋_GB2312" w:cs="仿宋_GB2312"/>
          <w:b/>
          <w:bCs/>
          <w:snapToGrid w:val="0"/>
          <w:color w:val="000000"/>
          <w:kern w:val="0"/>
          <w:sz w:val="30"/>
          <w:szCs w:val="30"/>
          <w:highlight w:val="none"/>
          <w:lang w:val="en-US" w:eastAsia="zh-CN" w:bidi="ar-SA"/>
        </w:rPr>
        <w:t>倡导简约生活方式。</w:t>
      </w:r>
      <w:r>
        <w:rPr>
          <w:rFonts w:hint="eastAsia" w:ascii="仿宋_GB2312" w:hAnsi="仿宋_GB2312" w:eastAsia="仿宋_GB2312" w:cs="仿宋_GB2312"/>
          <w:snapToGrid w:val="0"/>
          <w:color w:val="000000"/>
          <w:kern w:val="0"/>
          <w:sz w:val="30"/>
          <w:szCs w:val="30"/>
          <w:highlight w:val="none"/>
          <w:lang w:val="en-US" w:eastAsia="zh-CN" w:bidi="ar-SA"/>
        </w:rPr>
        <w:t>倡导社会各界共同参与绿色消费转型，包括企业、政府、非政府组织、媒体和公众等，形成合力，共同推动绿色消费的发展。鼓励公众减少不必要的消费，选择简单、实用、环保的生活方式。鼓励和支持绿色技术的研发和应用，如清洁能源、节能减排技术等，为绿色消费提供更多选择和支持。</w:t>
      </w:r>
    </w:p>
    <w:p w14:paraId="37B850E3">
      <w:pPr>
        <w:keepNext w:val="0"/>
        <w:keepLines w:val="0"/>
        <w:pageBreakBefore w:val="0"/>
        <w:widowControl/>
        <w:kinsoku w:val="0"/>
        <w:wordWrap/>
        <w:overflowPunct/>
        <w:topLinePunct w:val="0"/>
        <w:autoSpaceDE w:val="0"/>
        <w:autoSpaceDN w:val="0"/>
        <w:bidi w:val="0"/>
        <w:adjustRightInd w:val="0"/>
        <w:snapToGrid w:val="0"/>
        <w:spacing w:line="360" w:lineRule="auto"/>
        <w:ind w:firstLine="602" w:firstLineChars="200"/>
        <w:jc w:val="both"/>
        <w:textAlignment w:val="baseline"/>
        <w:rPr>
          <w:rFonts w:hint="eastAsia" w:ascii="仿宋_GB2312" w:hAnsi="仿宋_GB2312" w:eastAsia="仿宋_GB2312" w:cs="仿宋_GB2312"/>
          <w:snapToGrid w:val="0"/>
          <w:color w:val="000000"/>
          <w:kern w:val="0"/>
          <w:sz w:val="30"/>
          <w:szCs w:val="30"/>
          <w:highlight w:val="none"/>
          <w:lang w:val="en-US" w:eastAsia="zh-CN" w:bidi="ar-SA"/>
        </w:rPr>
      </w:pPr>
      <w:r>
        <w:rPr>
          <w:rFonts w:hint="eastAsia" w:ascii="仿宋_GB2312" w:hAnsi="仿宋_GB2312" w:eastAsia="仿宋_GB2312" w:cs="仿宋_GB2312"/>
          <w:b/>
          <w:bCs/>
          <w:snapToGrid w:val="0"/>
          <w:color w:val="000000"/>
          <w:kern w:val="0"/>
          <w:sz w:val="30"/>
          <w:szCs w:val="30"/>
          <w:highlight w:val="none"/>
          <w:lang w:val="en-US" w:eastAsia="zh-CN" w:bidi="ar-SA"/>
        </w:rPr>
        <w:t>加强政策引导。</w:t>
      </w:r>
      <w:r>
        <w:rPr>
          <w:rFonts w:hint="eastAsia" w:ascii="仿宋_GB2312" w:hAnsi="仿宋_GB2312" w:eastAsia="仿宋_GB2312" w:cs="仿宋_GB2312"/>
          <w:snapToGrid w:val="0"/>
          <w:color w:val="000000"/>
          <w:kern w:val="0"/>
          <w:sz w:val="30"/>
          <w:szCs w:val="30"/>
          <w:highlight w:val="none"/>
          <w:lang w:val="en-US" w:eastAsia="zh-CN" w:bidi="ar-SA"/>
        </w:rPr>
        <w:t>出台税收减免、补贴等相关政策，引导企业和消费者选择绿色产品和服务，促进绿色消费市场的形成和发展。加强对绿色消费市场的监管和执法力度，打击虚假宣传、假冒伪劣等不法行为，维护绿色消费市场的秩序和消费者的权益。</w:t>
      </w:r>
    </w:p>
    <w:p w14:paraId="5B72DD4C">
      <w:pPr>
        <w:pStyle w:val="4"/>
        <w:keepNext w:val="0"/>
        <w:keepLines w:val="0"/>
        <w:pageBreakBefore w:val="0"/>
        <w:widowControl w:val="0"/>
        <w:numPr>
          <w:ilvl w:val="0"/>
          <w:numId w:val="12"/>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83" w:name="_Toc26188"/>
      <w:bookmarkStart w:id="84" w:name="_Toc21011"/>
      <w:r>
        <w:rPr>
          <w:rFonts w:hint="eastAsia" w:ascii="仿宋_GB2312" w:hAnsi="仿宋_GB2312" w:eastAsia="仿宋_GB2312" w:cs="仿宋_GB2312"/>
          <w:snapToGrid/>
          <w:kern w:val="2"/>
          <w:sz w:val="30"/>
          <w:szCs w:val="30"/>
          <w:highlight w:val="none"/>
          <w:lang w:val="en-US" w:eastAsia="zh-CN"/>
        </w:rPr>
        <w:t>加强生态文明宣传教育</w:t>
      </w:r>
      <w:bookmarkEnd w:id="83"/>
      <w:bookmarkEnd w:id="84"/>
    </w:p>
    <w:p w14:paraId="3F471077">
      <w:pPr>
        <w:keepNext w:val="0"/>
        <w:keepLines w:val="0"/>
        <w:pageBreakBefore w:val="0"/>
        <w:widowControl/>
        <w:kinsoku w:val="0"/>
        <w:wordWrap/>
        <w:overflowPunct/>
        <w:topLinePunct w:val="0"/>
        <w:autoSpaceDE w:val="0"/>
        <w:autoSpaceDN w:val="0"/>
        <w:bidi w:val="0"/>
        <w:adjustRightInd w:val="0"/>
        <w:snapToGrid w:val="0"/>
        <w:spacing w:line="360" w:lineRule="auto"/>
        <w:ind w:firstLine="602" w:firstLineChars="200"/>
        <w:jc w:val="both"/>
        <w:textAlignment w:val="baseline"/>
        <w:rPr>
          <w:rFonts w:hint="eastAsia" w:ascii="仿宋_GB2312" w:hAnsi="仿宋_GB2312" w:eastAsia="仿宋_GB2312" w:cs="仿宋_GB2312"/>
          <w:snapToGrid w:val="0"/>
          <w:color w:val="000000"/>
          <w:kern w:val="0"/>
          <w:sz w:val="30"/>
          <w:szCs w:val="30"/>
          <w:highlight w:val="none"/>
          <w:lang w:val="en-US" w:eastAsia="zh-CN" w:bidi="ar-SA"/>
        </w:rPr>
      </w:pPr>
      <w:r>
        <w:rPr>
          <w:rFonts w:hint="eastAsia" w:ascii="仿宋_GB2312" w:hAnsi="仿宋_GB2312" w:eastAsia="仿宋_GB2312" w:cs="仿宋_GB2312"/>
          <w:b/>
          <w:bCs/>
          <w:snapToGrid w:val="0"/>
          <w:color w:val="000000"/>
          <w:kern w:val="0"/>
          <w:sz w:val="30"/>
          <w:szCs w:val="30"/>
          <w:highlight w:val="none"/>
          <w:lang w:val="en-US" w:eastAsia="zh-CN" w:bidi="ar-SA"/>
        </w:rPr>
        <w:t>加强生态文明理念传播。</w:t>
      </w:r>
      <w:r>
        <w:rPr>
          <w:rFonts w:hint="eastAsia" w:ascii="仿宋_GB2312" w:hAnsi="仿宋_GB2312" w:eastAsia="仿宋_GB2312" w:cs="仿宋_GB2312"/>
          <w:snapToGrid w:val="0"/>
          <w:color w:val="000000"/>
          <w:kern w:val="0"/>
          <w:sz w:val="30"/>
          <w:szCs w:val="30"/>
          <w:highlight w:val="none"/>
          <w:lang w:val="en-US" w:eastAsia="zh-CN" w:bidi="ar-SA"/>
        </w:rPr>
        <w:t>充分利用五常市网络媒体、新闻电视、广播、报纸、微信公众号、微博、短信、移动公交电视、出租车广告屏等多元媒介，通过开设生态文明类专栏、刊播生态文明宣传标语及音视频等材料、公益性广告、公益短信、组织文体娱乐活动等方式，利用世界环境日、世界地球日、国际生物多样性日、全国低碳节能周、“六五”环境宣传日等重大主题日，广泛开展生态文明理念宣传活动，提升各类人群的生态文明意识。将习近平生态文明思想与群众关心的生态环境问题有机结合，充分调动学校、企业、社区、社会组织、新闻媒体等力量，开展生态环境保护宣传教育进机关、进学校、进社区、进企业、进乡镇、进宗教场所活动，扩大生态环境教育覆盖面和影响力。开展生态文明建设成果巡回展览，挖掘和宣传生态环境保护事业中表现突出的人物事迹，形成人人争做生态文明典型的良好氛围。</w:t>
      </w:r>
    </w:p>
    <w:p w14:paraId="36BCC054">
      <w:pPr>
        <w:pStyle w:val="30"/>
        <w:spacing w:line="360" w:lineRule="auto"/>
        <w:ind w:firstLine="480"/>
        <w:jc w:val="both"/>
        <w:rPr>
          <w:sz w:val="30"/>
          <w:szCs w:val="30"/>
          <w:highlight w:val="none"/>
        </w:rPr>
      </w:pPr>
      <w:r>
        <w:rPr>
          <w:rFonts w:hint="eastAsia" w:ascii="仿宋_GB2312" w:hAnsi="仿宋_GB2312" w:eastAsia="仿宋_GB2312" w:cs="仿宋_GB2312"/>
          <w:b/>
          <w:snapToGrid w:val="0"/>
          <w:color w:val="000000"/>
          <w:kern w:val="0"/>
          <w:sz w:val="30"/>
          <w:szCs w:val="30"/>
          <w:highlight w:val="none"/>
          <w:lang w:val="en-US" w:eastAsia="en-US" w:bidi="ar-SA"/>
        </w:rPr>
        <w:t>打造生态文明宣教载体</w:t>
      </w:r>
      <w:r>
        <w:rPr>
          <w:rFonts w:hint="eastAsia" w:ascii="仿宋_GB2312" w:hAnsi="仿宋_GB2312" w:eastAsia="仿宋_GB2312" w:cs="仿宋_GB2312"/>
          <w:b/>
          <w:snapToGrid w:val="0"/>
          <w:color w:val="000000"/>
          <w:kern w:val="0"/>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充分利用社会资源，建设一批参与式、体验式生态课堂、生态场馆等生态科普教育场所，打造具有代表性的生态文化培训基地。以城市污水垃圾处理设施、生活垃圾焚烧发电厂、生态园区、特色农业生产基地等为载体，鼓励排污企业在确保安全的前提下，通过深化环保设施开放、设立企业开放日、建设教育体验场所、开设环保课堂、开展生态文明公益活动等形式，向公众提供生态文明宣传教育服务，利用好</w:t>
      </w:r>
      <w:r>
        <w:rPr>
          <w:rFonts w:hint="eastAsia" w:ascii="仿宋_GB2312" w:hAnsi="仿宋_GB2312" w:eastAsia="仿宋_GB2312" w:cs="仿宋_GB2312"/>
          <w:b w:val="0"/>
          <w:bCs w:val="0"/>
          <w:sz w:val="30"/>
          <w:szCs w:val="30"/>
          <w:highlight w:val="none"/>
          <w:lang w:val="en-US" w:eastAsia="zh-CN"/>
        </w:rPr>
        <w:t>五常市“文博图”三馆、县－乡镇－村级文化广场，充分</w:t>
      </w:r>
      <w:r>
        <w:rPr>
          <w:rFonts w:hint="eastAsia" w:ascii="仿宋_GB2312" w:hAnsi="仿宋_GB2312" w:eastAsia="仿宋_GB2312" w:cs="仿宋_GB2312"/>
          <w:sz w:val="30"/>
          <w:szCs w:val="30"/>
          <w:highlight w:val="none"/>
        </w:rPr>
        <w:t>展示</w:t>
      </w:r>
      <w:r>
        <w:rPr>
          <w:rFonts w:hint="eastAsia" w:ascii="仿宋_GB2312" w:hAnsi="仿宋_GB2312" w:eastAsia="仿宋_GB2312" w:cs="仿宋_GB2312"/>
          <w:sz w:val="30"/>
          <w:szCs w:val="30"/>
          <w:highlight w:val="none"/>
          <w:lang w:val="en-US" w:eastAsia="zh-CN"/>
        </w:rPr>
        <w:t>五常</w:t>
      </w:r>
      <w:r>
        <w:rPr>
          <w:rFonts w:hint="eastAsia" w:ascii="仿宋_GB2312" w:hAnsi="仿宋_GB2312" w:eastAsia="仿宋_GB2312" w:cs="仿宋_GB2312"/>
          <w:sz w:val="30"/>
          <w:szCs w:val="30"/>
          <w:highlight w:val="none"/>
        </w:rPr>
        <w:t>生态文明建设</w:t>
      </w:r>
      <w:r>
        <w:rPr>
          <w:rFonts w:hint="eastAsia" w:ascii="仿宋_GB2312" w:hAnsi="仿宋_GB2312" w:eastAsia="仿宋_GB2312" w:cs="仿宋_GB2312"/>
          <w:sz w:val="30"/>
          <w:szCs w:val="30"/>
          <w:highlight w:val="none"/>
          <w:lang w:val="en-US" w:eastAsia="zh-CN"/>
        </w:rPr>
        <w:t>成效和</w:t>
      </w:r>
      <w:r>
        <w:rPr>
          <w:rFonts w:hint="eastAsia" w:ascii="Times New Roman" w:hAnsi="Times New Roman" w:eastAsia="仿宋_GB2312" w:cs="Times New Roman"/>
          <w:snapToGrid/>
          <w:color w:val="auto"/>
          <w:kern w:val="2"/>
          <w:sz w:val="30"/>
          <w:szCs w:val="30"/>
          <w:highlight w:val="none"/>
          <w:lang w:val="en-US" w:eastAsia="zh-CN" w:bidi="ar-SA"/>
        </w:rPr>
        <w:t>“两山”理念实践创新</w:t>
      </w:r>
      <w:r>
        <w:rPr>
          <w:rFonts w:hint="eastAsia" w:ascii="仿宋_GB2312" w:hAnsi="仿宋_GB2312" w:eastAsia="仿宋_GB2312" w:cs="仿宋_GB2312"/>
          <w:sz w:val="30"/>
          <w:szCs w:val="30"/>
          <w:highlight w:val="none"/>
        </w:rPr>
        <w:t>成果</w:t>
      </w:r>
      <w:r>
        <w:rPr>
          <w:rFonts w:hint="eastAsia" w:ascii="仿宋_GB2312" w:hAnsi="仿宋_GB2312" w:eastAsia="仿宋_GB2312" w:cs="仿宋_GB2312"/>
          <w:sz w:val="30"/>
          <w:szCs w:val="30"/>
          <w:highlight w:val="none"/>
          <w:lang w:eastAsia="zh-CN"/>
        </w:rPr>
        <w:t>，</w:t>
      </w:r>
      <w:r>
        <w:rPr>
          <w:rFonts w:hint="eastAsia" w:ascii="Times New Roman" w:hAnsi="Times New Roman" w:eastAsia="仿宋_GB2312" w:cs="Times New Roman"/>
          <w:snapToGrid/>
          <w:color w:val="auto"/>
          <w:kern w:val="2"/>
          <w:sz w:val="30"/>
          <w:szCs w:val="30"/>
          <w:highlight w:val="none"/>
          <w:lang w:val="en-US" w:eastAsia="zh-CN" w:bidi="ar-SA"/>
        </w:rPr>
        <w:t>加强“两山”转化路径、典型做法和经验总结宣传推广，推进生态文明宣教工作群众化、经常化。</w:t>
      </w:r>
    </w:p>
    <w:p w14:paraId="51275C28">
      <w:pPr>
        <w:pStyle w:val="4"/>
        <w:keepNext w:val="0"/>
        <w:keepLines w:val="0"/>
        <w:pageBreakBefore w:val="0"/>
        <w:widowControl w:val="0"/>
        <w:numPr>
          <w:ilvl w:val="0"/>
          <w:numId w:val="12"/>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85" w:name="_Toc7494"/>
      <w:bookmarkStart w:id="86" w:name="_Toc13885"/>
      <w:r>
        <w:rPr>
          <w:rFonts w:hint="eastAsia" w:ascii="仿宋_GB2312" w:hAnsi="仿宋_GB2312" w:eastAsia="仿宋_GB2312" w:cs="仿宋_GB2312"/>
          <w:snapToGrid/>
          <w:kern w:val="2"/>
          <w:sz w:val="30"/>
          <w:szCs w:val="30"/>
          <w:highlight w:val="none"/>
          <w:lang w:val="en-US" w:eastAsia="zh-CN"/>
        </w:rPr>
        <w:t>引导社会公众共同参与</w:t>
      </w:r>
      <w:bookmarkEnd w:id="85"/>
      <w:bookmarkEnd w:id="86"/>
    </w:p>
    <w:p w14:paraId="584FEB5D">
      <w:pPr>
        <w:pStyle w:val="30"/>
        <w:spacing w:line="360" w:lineRule="auto"/>
        <w:ind w:firstLine="480"/>
        <w:jc w:val="both"/>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发挥党政机关干部带头作用。</w:t>
      </w:r>
      <w:r>
        <w:rPr>
          <w:rFonts w:hint="eastAsia" w:ascii="Times New Roman" w:hAnsi="Times New Roman" w:eastAsia="仿宋_GB2312" w:cs="Times New Roman"/>
          <w:snapToGrid/>
          <w:color w:val="auto"/>
          <w:kern w:val="2"/>
          <w:sz w:val="30"/>
          <w:szCs w:val="30"/>
          <w:highlight w:val="none"/>
          <w:lang w:val="en-US" w:eastAsia="zh-CN" w:bidi="ar-SA"/>
        </w:rPr>
        <w:t>优化完善党政领导干部的生态文明建设学习培训，组织开展多层级生态文明学习调研活动，邀请生态文明建设领域知名专家做专题报告或针对性授课，形成“走出去学，请进来讲”的干部培训路线。引导全市各级党政干部牢固树立生态优先的发展观、政绩观。推动党政机关厉行勤俭节约、反对铺张浪费，引导党政机关干部带头践行简约适度、绿色低碳的工作与生活方式。</w:t>
      </w:r>
    </w:p>
    <w:p w14:paraId="7B583570">
      <w:pPr>
        <w:pStyle w:val="30"/>
        <w:spacing w:line="360" w:lineRule="auto"/>
        <w:ind w:firstLine="480"/>
        <w:jc w:val="both"/>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强化企业生态文明建设责任。</w:t>
      </w:r>
      <w:r>
        <w:rPr>
          <w:rFonts w:hint="eastAsia" w:ascii="Times New Roman" w:hAnsi="Times New Roman" w:eastAsia="仿宋_GB2312" w:cs="Times New Roman"/>
          <w:snapToGrid/>
          <w:color w:val="auto"/>
          <w:kern w:val="2"/>
          <w:sz w:val="30"/>
          <w:szCs w:val="30"/>
          <w:highlight w:val="none"/>
          <w:lang w:val="en-US" w:eastAsia="zh-CN" w:bidi="ar-SA"/>
        </w:rPr>
        <w:t>动员和引导企业积极参与生态价值理念和生态文化传播，建立绿色企业文化，督促排污企业依法向社会公开污染物排放相关信息、环境年报和企业社会责任报告。引导企业坚持节能科技创新，加强精细化基础管理。组织开展工业节水增效培训活动，增强工业企业节水意识。引导企业不断探索创新绿色发展商业模式，通过在形象策划、产品开发、商标设计等方面充分体现生态理念，打造企业特色生态文化。</w:t>
      </w:r>
    </w:p>
    <w:p w14:paraId="16178AA0">
      <w:pPr>
        <w:pStyle w:val="30"/>
        <w:spacing w:line="360" w:lineRule="auto"/>
        <w:ind w:firstLine="480"/>
        <w:jc w:val="both"/>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引领公众践行生态文明行为。</w:t>
      </w:r>
      <w:r>
        <w:rPr>
          <w:rFonts w:hint="eastAsia" w:ascii="Times New Roman" w:hAnsi="Times New Roman" w:eastAsia="仿宋_GB2312" w:cs="Times New Roman"/>
          <w:snapToGrid/>
          <w:color w:val="auto"/>
          <w:kern w:val="2"/>
          <w:sz w:val="30"/>
          <w:szCs w:val="30"/>
          <w:highlight w:val="none"/>
          <w:lang w:val="en-US" w:eastAsia="zh-CN" w:bidi="ar-SA"/>
        </w:rPr>
        <w:t>发挥工会、共青团、妇联等群团组织作用，鼓励培育生态环保公益组织和环保志愿者，开展丰富多彩的环保宣传活动，指导居民进行垃圾分类。开展“美丽中国，我是行动者”等主题宣传活动，带动、引导公众主动参与生态环保公益活动。广泛开展“文明乡镇”“文明乡村”等创建活动，着力培育优良家风、文明乡风、淳朴民风，激发居民绿色生活的积极性，营造人人讲环保、户户倡绿色的良好氛围，进一步提升城乡整体面貌。到2025年，公众对生态文明建设的满意度不低于97.45%。</w:t>
      </w:r>
    </w:p>
    <w:p w14:paraId="24447769">
      <w:pPr>
        <w:pStyle w:val="4"/>
        <w:keepNext w:val="0"/>
        <w:keepLines w:val="0"/>
        <w:pageBreakBefore w:val="0"/>
        <w:widowControl w:val="0"/>
        <w:numPr>
          <w:ilvl w:val="0"/>
          <w:numId w:val="12"/>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87" w:name="_Toc10051"/>
      <w:bookmarkStart w:id="88" w:name="_Toc24325"/>
      <w:r>
        <w:rPr>
          <w:rFonts w:hint="eastAsia" w:ascii="仿宋_GB2312" w:hAnsi="仿宋_GB2312" w:eastAsia="仿宋_GB2312" w:cs="仿宋_GB2312"/>
          <w:snapToGrid/>
          <w:kern w:val="2"/>
          <w:sz w:val="30"/>
          <w:szCs w:val="30"/>
          <w:highlight w:val="none"/>
          <w:lang w:val="en-US" w:eastAsia="zh-CN"/>
        </w:rPr>
        <w:t>开展绿色生活创建活动</w:t>
      </w:r>
      <w:bookmarkEnd w:id="87"/>
      <w:bookmarkEnd w:id="88"/>
    </w:p>
    <w:p w14:paraId="4946DBD6">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深入开展绿色生活创建行动。</w:t>
      </w:r>
      <w:r>
        <w:rPr>
          <w:rFonts w:hint="eastAsia" w:ascii="Times New Roman" w:hAnsi="Times New Roman" w:eastAsia="仿宋_GB2312" w:cs="Times New Roman"/>
          <w:snapToGrid/>
          <w:color w:val="auto"/>
          <w:kern w:val="2"/>
          <w:sz w:val="30"/>
          <w:szCs w:val="30"/>
          <w:highlight w:val="none"/>
          <w:lang w:val="en-US" w:eastAsia="zh-CN" w:bidi="ar-SA"/>
        </w:rPr>
        <w:t>将生态文明教育纳入教育教学和校园文化建设，培养提升全民节约意识、环保意识、生态意识。因地制宜推行生活垃圾分类制度，加快建立生活垃圾分类投放、分类收集、分类运输、分类处理系统。建立绿色消费激励机制，加大政府绿色采购力度，加强绿色产品和服务认证管理，强化能效、水效标识等监管工作，倡导简约适度的生活方式，引领绿色低碳生活新时尚。加快推进快递包装绿色转型。</w:t>
      </w:r>
    </w:p>
    <w:p w14:paraId="2AAF204A">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积极推进绿色细胞工程建设。</w:t>
      </w:r>
      <w:r>
        <w:rPr>
          <w:rFonts w:hint="eastAsia" w:ascii="仿宋_GB2312" w:hAnsi="仿宋_GB2312" w:eastAsia="仿宋_GB2312" w:cs="仿宋_GB2312"/>
          <w:sz w:val="30"/>
          <w:szCs w:val="30"/>
          <w:highlight w:val="none"/>
          <w:lang w:val="en-US" w:eastAsia="zh-CN"/>
        </w:rPr>
        <w:t>鼓励居民减少水电消耗，使用节能家电，绿色出行，倡导资源节约集约利用，</w:t>
      </w:r>
      <w:r>
        <w:rPr>
          <w:rFonts w:hint="eastAsia" w:ascii="Times New Roman" w:hAnsi="Times New Roman" w:eastAsia="仿宋_GB2312" w:cs="Times New Roman"/>
          <w:snapToGrid/>
          <w:color w:val="auto"/>
          <w:kern w:val="2"/>
          <w:sz w:val="30"/>
          <w:szCs w:val="30"/>
          <w:highlight w:val="none"/>
          <w:lang w:val="en-US" w:eastAsia="zh-CN" w:bidi="ar-SA"/>
        </w:rPr>
        <w:t>广泛宣传推广简约适度、绿色低碳、文明健康的生活理念和生活方式，推动全民在衣、食、住、行、游等各方面向简约适度、绿色低碳、文明健康的方式转变。开展社区“绿色家庭”竞赛，引导企事业单位实施“绿色办公”，鼓励学校</w:t>
      </w:r>
      <w:r>
        <w:rPr>
          <w:rFonts w:hint="eastAsia" w:ascii="仿宋_GB2312" w:hAnsi="仿宋_GB2312" w:eastAsia="仿宋_GB2312" w:cs="仿宋_GB2312"/>
          <w:sz w:val="30"/>
          <w:szCs w:val="30"/>
          <w:highlight w:val="none"/>
          <w:lang w:val="en-US" w:eastAsia="zh-CN"/>
        </w:rPr>
        <w:t>“绿色校园”计划。举办“绿色生活周”等活动，通过工作坊、讲座和展览等形式，向公众展示绿色生活的好处和实践方法。</w:t>
      </w:r>
      <w:r>
        <w:rPr>
          <w:rFonts w:hint="eastAsia" w:ascii="Times New Roman" w:hAnsi="Times New Roman" w:eastAsia="仿宋_GB2312" w:cs="Times New Roman"/>
          <w:snapToGrid/>
          <w:color w:val="auto"/>
          <w:kern w:val="2"/>
          <w:sz w:val="30"/>
          <w:szCs w:val="30"/>
          <w:highlight w:val="none"/>
          <w:lang w:val="en-US" w:eastAsia="zh-CN" w:bidi="ar-SA"/>
        </w:rPr>
        <w:t>到2025年，生态文明理念更加深入人心，绿色生活方式得到普遍推广。</w:t>
      </w:r>
    </w:p>
    <w:p w14:paraId="50359132">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探索“无废细胞”建设特色路径。</w:t>
      </w:r>
      <w:r>
        <w:rPr>
          <w:rFonts w:hint="eastAsia" w:ascii="Times New Roman" w:hAnsi="Times New Roman" w:eastAsia="仿宋_GB2312" w:cs="Times New Roman"/>
          <w:b w:val="0"/>
          <w:bCs w:val="0"/>
          <w:snapToGrid/>
          <w:color w:val="auto"/>
          <w:kern w:val="2"/>
          <w:sz w:val="30"/>
          <w:szCs w:val="30"/>
          <w:highlight w:val="none"/>
          <w:lang w:val="en-US" w:eastAsia="zh-CN" w:bidi="ar-SA"/>
        </w:rPr>
        <w:t>践行“无废社会”理念，</w:t>
      </w:r>
      <w:r>
        <w:rPr>
          <w:rFonts w:hint="eastAsia" w:ascii="Times New Roman" w:hAnsi="Times New Roman" w:eastAsia="仿宋_GB2312" w:cs="Times New Roman"/>
          <w:snapToGrid/>
          <w:color w:val="auto"/>
          <w:kern w:val="2"/>
          <w:sz w:val="30"/>
          <w:szCs w:val="30"/>
          <w:highlight w:val="none"/>
          <w:lang w:val="en-US" w:eastAsia="zh-CN" w:bidi="ar-SA"/>
        </w:rPr>
        <w:t>探索无废社区、无废园区、无废学校、无废工厂、无废农场、无废机关、无废医院等“无废细胞”创建，到2025年，完成“十四五”时期“无废城市”建设目标指标任务，宣传一批成效突出、特点鲜明的“无废细胞”典型案例。到2030年，全面形成崇尚生态文明、践行绿色低碳发展的良好风尚。</w:t>
      </w:r>
    </w:p>
    <w:p w14:paraId="0FE77054">
      <w:pPr>
        <w:pStyle w:val="3"/>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89" w:name="_Toc25743"/>
      <w:bookmarkStart w:id="90" w:name="_Toc28338"/>
      <w:r>
        <w:rPr>
          <w:rFonts w:hint="eastAsia" w:ascii="方正楷体_GB2312" w:hAnsi="方正楷体_GB2312" w:eastAsia="方正楷体_GB2312" w:cs="方正楷体_GB2312"/>
          <w:b/>
          <w:bCs/>
          <w:snapToGrid/>
          <w:kern w:val="2"/>
          <w:szCs w:val="24"/>
          <w:highlight w:val="none"/>
          <w:lang w:eastAsia="zh-CN"/>
        </w:rPr>
        <w:t>（五）生态文明制度体系建设</w:t>
      </w:r>
      <w:bookmarkEnd w:id="89"/>
      <w:bookmarkEnd w:id="90"/>
    </w:p>
    <w:p w14:paraId="7F460922">
      <w:pPr>
        <w:pStyle w:val="4"/>
        <w:keepNext w:val="0"/>
        <w:keepLines w:val="0"/>
        <w:pageBreakBefore w:val="0"/>
        <w:widowControl w:val="0"/>
        <w:numPr>
          <w:ilvl w:val="0"/>
          <w:numId w:val="13"/>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91" w:name="_Toc189"/>
      <w:bookmarkStart w:id="92" w:name="_Toc26147"/>
      <w:r>
        <w:rPr>
          <w:rFonts w:hint="eastAsia" w:ascii="仿宋_GB2312" w:hAnsi="仿宋_GB2312" w:eastAsia="仿宋_GB2312" w:cs="仿宋_GB2312"/>
          <w:snapToGrid/>
          <w:kern w:val="2"/>
          <w:sz w:val="30"/>
          <w:szCs w:val="30"/>
          <w:highlight w:val="none"/>
          <w:lang w:val="en-US" w:eastAsia="zh-CN"/>
        </w:rPr>
        <w:t>落实最严格的源头管控制度</w:t>
      </w:r>
      <w:bookmarkEnd w:id="91"/>
      <w:bookmarkEnd w:id="92"/>
    </w:p>
    <w:p w14:paraId="2C8A8B32">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健全国土空间开发保护制度。</w:t>
      </w:r>
      <w:r>
        <w:rPr>
          <w:rFonts w:hint="eastAsia" w:ascii="Times New Roman" w:hAnsi="Times New Roman" w:eastAsia="仿宋_GB2312" w:cs="Times New Roman"/>
          <w:snapToGrid/>
          <w:color w:val="auto"/>
          <w:kern w:val="2"/>
          <w:sz w:val="30"/>
          <w:szCs w:val="30"/>
          <w:highlight w:val="none"/>
          <w:lang w:val="en-US" w:eastAsia="zh-CN" w:bidi="ar-SA"/>
        </w:rPr>
        <w:t>立足资源环境承载能力，充分发挥规划的龙头引领作用，科学划定“三区三线一单”，以城市总体规划、国土空间规划为“底图”，构建各专项规划上下衔接、“多规合一”的规划编制审批体系，确保“规划一张图、建设一盘棋”。发挥国土空间规划的战略引领和刚性管控作用，以资源环境承载能力和国土空间开发适宜性评价为基础，分类精准施策，科学有序统筹布局生态、农业、城镇三类空间，促进重大基础设施、重大生产力和公共资源优化布局，推动形成主体功能约束有效、国土空间开发有序的空间发展格局。</w:t>
      </w:r>
    </w:p>
    <w:p w14:paraId="46E1B0B8">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落实“三线一单”生态环境分区管控制度。</w:t>
      </w:r>
      <w:r>
        <w:rPr>
          <w:rFonts w:hint="eastAsia" w:ascii="Times New Roman" w:hAnsi="Times New Roman" w:eastAsia="仿宋_GB2312" w:cs="Times New Roman"/>
          <w:snapToGrid/>
          <w:color w:val="auto"/>
          <w:kern w:val="2"/>
          <w:sz w:val="30"/>
          <w:szCs w:val="30"/>
          <w:highlight w:val="none"/>
          <w:lang w:val="en-US" w:eastAsia="zh-CN" w:bidi="ar-SA"/>
        </w:rPr>
        <w:t>衔接国土空间规划分区和用途管制要求，以环境管控单元为基础，统筹生态保护红线、环境质量底线、资源利用上线的分区管控要求。明确空间布局约束、污染物排放管控、环境风险防控、资源利用效率等方面准入、限制和禁止的产业和项目类型清单，提出城乡建设、工农业生产、矿产开发、旅游康体等活动的规模、强度、布局和环境保护等方面的限额要求，切实推动“三线一单”生态环境分区管控措施落细落小落实。</w:t>
      </w:r>
    </w:p>
    <w:p w14:paraId="17262A82">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严格执行环境影响评价制度。</w:t>
      </w:r>
      <w:r>
        <w:rPr>
          <w:rFonts w:hint="eastAsia" w:ascii="Times New Roman" w:hAnsi="Times New Roman" w:eastAsia="仿宋_GB2312" w:cs="Times New Roman"/>
          <w:snapToGrid/>
          <w:color w:val="auto"/>
          <w:kern w:val="2"/>
          <w:sz w:val="30"/>
          <w:szCs w:val="30"/>
          <w:highlight w:val="none"/>
          <w:lang w:val="en-US" w:eastAsia="zh-CN" w:bidi="ar-SA"/>
        </w:rPr>
        <w:t>严格建设项目环境影响评价审批，落实建设项目环境影响评价“受理公示、拟批复公示、批复公告”，加强“三同时”监督检查和竣工环境保护验收工作，完善新建项目审批与减污降碳相衔接的管理模式。全面依法开展规划环境影响评价，进一步加强产业园区规划环境影响评价，加快推进国土空间规划环境影响评价，预防、减轻规划实施可能造成的环境影响。</w:t>
      </w:r>
    </w:p>
    <w:p w14:paraId="52C560C7">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实行严格的产业准入清单制度。</w:t>
      </w:r>
      <w:r>
        <w:rPr>
          <w:rFonts w:hint="eastAsia" w:ascii="Times New Roman" w:hAnsi="Times New Roman" w:eastAsia="仿宋_GB2312" w:cs="Times New Roman"/>
          <w:snapToGrid/>
          <w:color w:val="auto"/>
          <w:kern w:val="2"/>
          <w:sz w:val="30"/>
          <w:szCs w:val="30"/>
          <w:highlight w:val="none"/>
          <w:lang w:val="en-US" w:eastAsia="zh-CN" w:bidi="ar-SA"/>
        </w:rPr>
        <w:t>高耗能、高排放项目审批要严格落实国家产业规划、产业政策、“三线一单”、环评审批、取水许可审批、节能审查以及污染物区域削减替代等要求，采取先进适用的工艺技术和装备，提升高耗能项目能耗准入标准，能耗、物耗、水耗要达到清洁生产先进水平。加强产业集群环境治理，明确产业布局和发展方向，高起点设定项目准入类别。在产业结构调整指导目录中考虑减污降碳协同增效要求，优化鼓励类、限制类、淘汰类相关项目类别。推动建立以区域环境质量改善和碳达峰目标为导向的产业准入及退出清单。</w:t>
      </w:r>
    </w:p>
    <w:p w14:paraId="725F447A">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建立新化学物质环境管理登记制度。</w:t>
      </w:r>
      <w:r>
        <w:rPr>
          <w:rFonts w:hint="eastAsia" w:ascii="Times New Roman" w:hAnsi="Times New Roman" w:eastAsia="仿宋_GB2312" w:cs="Times New Roman"/>
          <w:snapToGrid/>
          <w:color w:val="auto"/>
          <w:kern w:val="2"/>
          <w:sz w:val="30"/>
          <w:szCs w:val="30"/>
          <w:highlight w:val="none"/>
          <w:lang w:val="en-US" w:eastAsia="zh-CN" w:bidi="ar-SA"/>
        </w:rPr>
        <w:t>对涉及新化学物质登记的企业开展专项监督抽查。建立健全新化学物质登记测试数据质量监管机制，对新化学物质登记测试数据质量进行现场核查，并公开核查结果。将新化学物质环境管理事项纳入环境执法年度工作计划。做好新化学物质和现有化学物质环境管理衔接。</w:t>
      </w:r>
    </w:p>
    <w:p w14:paraId="116F548B">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落实资源节约集约利用制度。</w:t>
      </w:r>
      <w:r>
        <w:rPr>
          <w:rFonts w:hint="eastAsia" w:ascii="Times New Roman" w:hAnsi="Times New Roman" w:eastAsia="仿宋_GB2312" w:cs="Times New Roman"/>
          <w:snapToGrid/>
          <w:color w:val="auto"/>
          <w:kern w:val="2"/>
          <w:sz w:val="30"/>
          <w:szCs w:val="30"/>
          <w:highlight w:val="none"/>
          <w:lang w:val="en-US" w:eastAsia="zh-CN" w:bidi="ar-SA"/>
        </w:rPr>
        <w:t>实行最严格水资源管理制度，落实用水总量控制、用水效率控制、水功能区限制纳污“三条红线”管理制度，突出节水载体建设、管网漏损控制、取用水监管等关键环节，持续提升水资源集约节约利用水平。落实最严格耕地保护制度和最严格节约集约用地制度，统筹土地节约集约利用，加大土地整理复垦开发力度，农村建设用地应按功能分区相对集中布局。</w:t>
      </w:r>
    </w:p>
    <w:p w14:paraId="2D9D1484">
      <w:pPr>
        <w:pStyle w:val="4"/>
        <w:keepNext w:val="0"/>
        <w:keepLines w:val="0"/>
        <w:pageBreakBefore w:val="0"/>
        <w:widowControl w:val="0"/>
        <w:numPr>
          <w:ilvl w:val="0"/>
          <w:numId w:val="13"/>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93" w:name="_Toc23762"/>
      <w:bookmarkStart w:id="94" w:name="_Toc24687"/>
      <w:r>
        <w:rPr>
          <w:rFonts w:hint="eastAsia" w:ascii="仿宋_GB2312" w:hAnsi="仿宋_GB2312" w:eastAsia="仿宋_GB2312" w:cs="仿宋_GB2312"/>
          <w:snapToGrid/>
          <w:kern w:val="2"/>
          <w:sz w:val="30"/>
          <w:szCs w:val="30"/>
          <w:highlight w:val="none"/>
          <w:lang w:val="en-US" w:eastAsia="zh-CN"/>
        </w:rPr>
        <w:t>落实最严格的过程监管制度</w:t>
      </w:r>
      <w:bookmarkEnd w:id="93"/>
      <w:bookmarkEnd w:id="94"/>
    </w:p>
    <w:p w14:paraId="60932A1B">
      <w:pPr>
        <w:pStyle w:val="11"/>
        <w:keepNext w:val="0"/>
        <w:keepLines w:val="0"/>
        <w:pageBreakBefore w:val="0"/>
        <w:widowControl/>
        <w:kinsoku w:val="0"/>
        <w:wordWrap/>
        <w:overflowPunct/>
        <w:topLinePunct w:val="0"/>
        <w:autoSpaceDE w:val="0"/>
        <w:autoSpaceDN w:val="0"/>
        <w:bidi w:val="0"/>
        <w:adjustRightInd w:val="0"/>
        <w:snapToGrid w:val="0"/>
        <w:spacing w:line="37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推动落实自然资源资产产权和用途管制制度。</w:t>
      </w:r>
      <w:r>
        <w:rPr>
          <w:rFonts w:hint="eastAsia" w:ascii="Times New Roman" w:hAnsi="Times New Roman" w:eastAsia="仿宋_GB2312" w:cs="Times New Roman"/>
          <w:snapToGrid/>
          <w:color w:val="auto"/>
          <w:kern w:val="2"/>
          <w:sz w:val="30"/>
          <w:szCs w:val="30"/>
          <w:highlight w:val="none"/>
          <w:lang w:val="en-US" w:eastAsia="zh-CN" w:bidi="ar-SA"/>
        </w:rPr>
        <w:t>对全市水流、森林、山岭、荒地等自然生态空间进行统一确权登记，明确自然资源资产所有者、监管者及其相应责任。明确各类生态空间开发、利用和保护边界，落实自然资源资产用途管制制度，组织开展自然资源资产调查、登记和入账等工作，建立自然资源资产清单和信息管理平台，对自然资源资产保护和开发利用进行统一监管。</w:t>
      </w:r>
    </w:p>
    <w:p w14:paraId="6BB389C2">
      <w:pPr>
        <w:pStyle w:val="11"/>
        <w:keepNext w:val="0"/>
        <w:keepLines w:val="0"/>
        <w:pageBreakBefore w:val="0"/>
        <w:widowControl/>
        <w:kinsoku w:val="0"/>
        <w:wordWrap/>
        <w:overflowPunct/>
        <w:topLinePunct w:val="0"/>
        <w:autoSpaceDE w:val="0"/>
        <w:autoSpaceDN w:val="0"/>
        <w:bidi w:val="0"/>
        <w:adjustRightInd w:val="0"/>
        <w:snapToGrid w:val="0"/>
        <w:spacing w:line="37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全面落实河（湖）长制、林长制。</w:t>
      </w:r>
      <w:r>
        <w:rPr>
          <w:rFonts w:hint="eastAsia" w:ascii="Times New Roman" w:hAnsi="Times New Roman" w:eastAsia="仿宋_GB2312" w:cs="Times New Roman"/>
          <w:snapToGrid/>
          <w:color w:val="auto"/>
          <w:kern w:val="2"/>
          <w:sz w:val="30"/>
          <w:szCs w:val="30"/>
          <w:highlight w:val="none"/>
          <w:lang w:val="en-US" w:eastAsia="zh-CN" w:bidi="ar-SA"/>
        </w:rPr>
        <w:t>严格落实河（湖）长制。完善河（湖）长制度保障体系，压实河（湖）长责任与考核目标，考核结果作为河流水生态修复、水环境治理等项目资金分配以及党政领导干部绩效考核评价的重要依据。加快建立森林资源网格化管理体系，构建行政村林长、监管员、护林员“一长两员”的森林资源源头管理架构，将森林资源保护重心向源头转移。</w:t>
      </w:r>
    </w:p>
    <w:p w14:paraId="7E3C1BD5">
      <w:pPr>
        <w:pStyle w:val="11"/>
        <w:keepNext w:val="0"/>
        <w:keepLines w:val="0"/>
        <w:pageBreakBefore w:val="0"/>
        <w:widowControl/>
        <w:kinsoku w:val="0"/>
        <w:wordWrap/>
        <w:overflowPunct/>
        <w:topLinePunct w:val="0"/>
        <w:autoSpaceDE w:val="0"/>
        <w:autoSpaceDN w:val="0"/>
        <w:bidi w:val="0"/>
        <w:adjustRightInd w:val="0"/>
        <w:snapToGrid w:val="0"/>
        <w:spacing w:line="37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严格执行排污许可证管理制度。</w:t>
      </w:r>
      <w:r>
        <w:rPr>
          <w:rFonts w:hint="eastAsia" w:ascii="Times New Roman" w:hAnsi="Times New Roman" w:eastAsia="仿宋_GB2312" w:cs="Times New Roman"/>
          <w:snapToGrid/>
          <w:color w:val="auto"/>
          <w:kern w:val="2"/>
          <w:sz w:val="30"/>
          <w:szCs w:val="30"/>
          <w:highlight w:val="none"/>
          <w:lang w:val="en-US" w:eastAsia="zh-CN" w:bidi="ar-SA"/>
        </w:rPr>
        <w:t>全面落实排污许可证管理制度，构建以排污许可制为核心的固定污染源监管制度体系，推进固定污染源“一证式”管理，强化证后检查和监管执法。依法开展固定污染源排污许可清理整顿发证登记工作，禁止无证排污或不按许可证规定排污，逐步提高固定污染源环境管理效能。</w:t>
      </w:r>
    </w:p>
    <w:p w14:paraId="2964B94C">
      <w:pPr>
        <w:pStyle w:val="11"/>
        <w:keepNext w:val="0"/>
        <w:keepLines w:val="0"/>
        <w:pageBreakBefore w:val="0"/>
        <w:widowControl/>
        <w:kinsoku w:val="0"/>
        <w:wordWrap/>
        <w:overflowPunct/>
        <w:topLinePunct w:val="0"/>
        <w:autoSpaceDE w:val="0"/>
        <w:autoSpaceDN w:val="0"/>
        <w:bidi w:val="0"/>
        <w:adjustRightInd w:val="0"/>
        <w:snapToGrid w:val="0"/>
        <w:spacing w:line="37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严格落实企业环境信用评价制度。</w:t>
      </w:r>
      <w:r>
        <w:rPr>
          <w:rFonts w:hint="eastAsia" w:ascii="Times New Roman" w:hAnsi="Times New Roman" w:eastAsia="仿宋_GB2312" w:cs="Times New Roman"/>
          <w:snapToGrid/>
          <w:color w:val="auto"/>
          <w:kern w:val="2"/>
          <w:sz w:val="30"/>
          <w:szCs w:val="30"/>
          <w:highlight w:val="none"/>
          <w:lang w:val="en-US" w:eastAsia="zh-CN" w:bidi="ar-SA"/>
        </w:rPr>
        <w:t>开展企业环境信用评价，实行环保诚信企业、环保良好企业、环保警示企业、环保不良企业分级动态管理。强化评价结果运用，对评为环保诚信企业和环保良好企业采取激励措施，对环保不良企业采取惩戒措施。完善企业环保信用档案和正负面清单，与发改、工商、质监、银行等相关部门实现信息共享，将信用评价结果和企业违法行为纳入社会信用体系。</w:t>
      </w:r>
    </w:p>
    <w:p w14:paraId="4848E788">
      <w:pPr>
        <w:pStyle w:val="11"/>
        <w:keepNext w:val="0"/>
        <w:keepLines w:val="0"/>
        <w:pageBreakBefore w:val="0"/>
        <w:widowControl/>
        <w:kinsoku w:val="0"/>
        <w:wordWrap/>
        <w:overflowPunct/>
        <w:topLinePunct w:val="0"/>
        <w:autoSpaceDE w:val="0"/>
        <w:autoSpaceDN w:val="0"/>
        <w:bidi w:val="0"/>
        <w:adjustRightInd w:val="0"/>
        <w:snapToGrid w:val="0"/>
        <w:spacing w:line="37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实行企业清洁生产管理制度。</w:t>
      </w:r>
      <w:r>
        <w:rPr>
          <w:rFonts w:hint="eastAsia" w:ascii="Times New Roman" w:hAnsi="Times New Roman" w:eastAsia="仿宋_GB2312" w:cs="Times New Roman"/>
          <w:snapToGrid/>
          <w:color w:val="auto"/>
          <w:kern w:val="2"/>
          <w:sz w:val="30"/>
          <w:szCs w:val="30"/>
          <w:highlight w:val="none"/>
          <w:lang w:val="en-US" w:eastAsia="zh-CN" w:bidi="ar-SA"/>
        </w:rPr>
        <w:t>加强清洁生产宣传教育和培训，增强企业清洁生产责任意识。引导企业实施清洁生产工作，不断改进设计、使用清洁的能源和原料、采用先进的工艺技术与设备、改善管理、综合利用等措施。制定落实强制性清洁生产审核年度计划，有序推进重点监管企业清洁生产审核工作。</w:t>
      </w:r>
    </w:p>
    <w:p w14:paraId="10CF7FF2">
      <w:pPr>
        <w:pStyle w:val="11"/>
        <w:keepNext w:val="0"/>
        <w:keepLines w:val="0"/>
        <w:pageBreakBefore w:val="0"/>
        <w:widowControl/>
        <w:kinsoku w:val="0"/>
        <w:wordWrap/>
        <w:overflowPunct/>
        <w:topLinePunct w:val="0"/>
        <w:autoSpaceDE w:val="0"/>
        <w:autoSpaceDN w:val="0"/>
        <w:bidi w:val="0"/>
        <w:adjustRightInd w:val="0"/>
        <w:snapToGrid w:val="0"/>
        <w:spacing w:line="37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实行垃圾分类和资源化利用制度。</w:t>
      </w:r>
      <w:r>
        <w:rPr>
          <w:rFonts w:hint="eastAsia" w:ascii="Times New Roman" w:hAnsi="Times New Roman" w:eastAsia="仿宋_GB2312" w:cs="Times New Roman"/>
          <w:snapToGrid/>
          <w:color w:val="auto"/>
          <w:kern w:val="2"/>
          <w:sz w:val="30"/>
          <w:szCs w:val="30"/>
          <w:highlight w:val="none"/>
          <w:lang w:val="en-US" w:eastAsia="zh-CN" w:bidi="ar-SA"/>
        </w:rPr>
        <w:t>实行生产者责任延伸制度，推动生产者落实废弃产品回收处理等责任。加快建立分类投放、分类收集、分类运输、分类处理的垃圾处理系统，逐步扩大垃圾分类制度覆盖范围。建立完善有利于垃圾分类和减量化、资源化、无害化处理的激励约束机制。制定再生资源回收目录，加快完善再生资源回收体系，建立完善资源再生产品和原料推广使用制度。</w:t>
      </w:r>
    </w:p>
    <w:p w14:paraId="02798259">
      <w:pPr>
        <w:pStyle w:val="11"/>
        <w:keepNext w:val="0"/>
        <w:keepLines w:val="0"/>
        <w:pageBreakBefore w:val="0"/>
        <w:widowControl/>
        <w:kinsoku w:val="0"/>
        <w:wordWrap/>
        <w:overflowPunct/>
        <w:topLinePunct w:val="0"/>
        <w:autoSpaceDE w:val="0"/>
        <w:autoSpaceDN w:val="0"/>
        <w:bidi w:val="0"/>
        <w:adjustRightInd w:val="0"/>
        <w:snapToGrid w:val="0"/>
        <w:spacing w:line="37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落实排放源统计调查制度。</w:t>
      </w:r>
      <w:r>
        <w:rPr>
          <w:rFonts w:hint="eastAsia" w:ascii="Times New Roman" w:hAnsi="Times New Roman" w:eastAsia="仿宋_GB2312" w:cs="Times New Roman"/>
          <w:snapToGrid/>
          <w:color w:val="auto"/>
          <w:kern w:val="2"/>
          <w:sz w:val="30"/>
          <w:szCs w:val="30"/>
          <w:highlight w:val="none"/>
          <w:lang w:val="en-US" w:eastAsia="zh-CN" w:bidi="ar-SA"/>
        </w:rPr>
        <w:t>依法依规做好排放源统计工作，提高排放源统计数据质量，了解市域范围内污染物和温室气体排放及治理情况。年报调查内容包括工业企业基本情况、产品产能产量、污染治理设施运行、污染物和温室气体产生排放等内容；农业、生活、机动车的基本情况、污染物和温室气体产生排放等内容；集中式污染治理设施的基本情况、运行及污染排放等内容。季报调查内容包括工业企业基本情况、产品产能产量、污染治理设施运行、污染物和污染治理项目投运情况调度等内容；污水处理厂的基本情况、运行及污泥处置等内容。</w:t>
      </w:r>
    </w:p>
    <w:p w14:paraId="23A4EA6E">
      <w:pPr>
        <w:pStyle w:val="4"/>
        <w:keepNext w:val="0"/>
        <w:keepLines w:val="0"/>
        <w:pageBreakBefore w:val="0"/>
        <w:widowControl w:val="0"/>
        <w:numPr>
          <w:ilvl w:val="0"/>
          <w:numId w:val="13"/>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95" w:name="_Toc12394"/>
      <w:bookmarkStart w:id="96" w:name="_Toc21335"/>
      <w:bookmarkStart w:id="97" w:name="_Toc408"/>
      <w:r>
        <w:rPr>
          <w:rFonts w:hint="eastAsia" w:ascii="仿宋_GB2312" w:hAnsi="仿宋_GB2312" w:eastAsia="仿宋_GB2312" w:cs="仿宋_GB2312"/>
          <w:snapToGrid/>
          <w:kern w:val="2"/>
          <w:sz w:val="30"/>
          <w:szCs w:val="30"/>
          <w:highlight w:val="none"/>
          <w:lang w:val="en-US" w:eastAsia="zh-CN"/>
        </w:rPr>
        <w:t>完善生态环境保护体制机制</w:t>
      </w:r>
      <w:bookmarkEnd w:id="95"/>
      <w:bookmarkEnd w:id="96"/>
      <w:bookmarkEnd w:id="97"/>
    </w:p>
    <w:p w14:paraId="19CEBFCE">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实施山水林田湖草沙一体化保护和修复机制。</w:t>
      </w:r>
      <w:r>
        <w:rPr>
          <w:rFonts w:hint="eastAsia" w:ascii="Times New Roman" w:hAnsi="Times New Roman" w:eastAsia="仿宋_GB2312" w:cs="Times New Roman"/>
          <w:snapToGrid/>
          <w:color w:val="auto"/>
          <w:kern w:val="2"/>
          <w:sz w:val="30"/>
          <w:szCs w:val="30"/>
          <w:highlight w:val="none"/>
          <w:lang w:val="en-US" w:eastAsia="zh-CN" w:bidi="ar-SA"/>
        </w:rPr>
        <w:t>统筹山上山下、地上地下、上游下游等关系，推进山水林田湖草沙整体保护、系统修复和综合治理。坚持以水而定、量水而行，宜林则林、宜耕则耕、宜湿则湿、宜草则草，全方位、全地域、全过程开展生态环境保护，提升区域生态系统质量和稳定性。</w:t>
      </w:r>
    </w:p>
    <w:p w14:paraId="3C83D423">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建立健全气候变化风险管理机制。</w:t>
      </w:r>
      <w:r>
        <w:rPr>
          <w:rFonts w:hint="eastAsia" w:ascii="Times New Roman" w:hAnsi="Times New Roman" w:eastAsia="仿宋_GB2312" w:cs="Times New Roman"/>
          <w:snapToGrid/>
          <w:color w:val="auto"/>
          <w:kern w:val="2"/>
          <w:sz w:val="30"/>
          <w:szCs w:val="30"/>
          <w:highlight w:val="none"/>
          <w:lang w:val="en-US" w:eastAsia="zh-CN" w:bidi="ar-SA"/>
        </w:rPr>
        <w:t>完善极端气候事件应急预案和配套制度，科学编制极端气候事件和灾害应急处置方案。推动极端气候事件防灾减灾融入综合防灾减灾救灾体系，健全应急联动和社会响应体系，加强应急通道、救灾物资储备中心等建设，提高救援响应速度、应急救援覆盖率等应急管理水平。</w:t>
      </w:r>
    </w:p>
    <w:p w14:paraId="7B61CA04">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6"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bookmarkStart w:id="98" w:name="_Toc87801425"/>
      <w:bookmarkStart w:id="99" w:name="_Toc31526"/>
      <w:r>
        <w:rPr>
          <w:rFonts w:hint="eastAsia" w:ascii="Times New Roman" w:hAnsi="Times New Roman" w:eastAsia="仿宋_GB2312" w:cs="Times New Roman"/>
          <w:b/>
          <w:bCs/>
          <w:snapToGrid/>
          <w:color w:val="auto"/>
          <w:kern w:val="2"/>
          <w:sz w:val="30"/>
          <w:szCs w:val="30"/>
          <w:highlight w:val="none"/>
          <w:lang w:val="en-US" w:eastAsia="zh-CN" w:bidi="ar-SA"/>
        </w:rPr>
        <w:t>探索生态产品价值实现机制</w:t>
      </w:r>
      <w:bookmarkEnd w:id="98"/>
      <w:bookmarkEnd w:id="99"/>
      <w:r>
        <w:rPr>
          <w:rFonts w:hint="eastAsia" w:ascii="Times New Roman" w:hAnsi="Times New Roman" w:eastAsia="仿宋_GB2312" w:cs="Times New Roman"/>
          <w:b/>
          <w:bCs/>
          <w:snapToGrid/>
          <w:color w:val="auto"/>
          <w:kern w:val="2"/>
          <w:sz w:val="30"/>
          <w:szCs w:val="30"/>
          <w:highlight w:val="none"/>
          <w:lang w:val="en-US" w:eastAsia="zh-CN" w:bidi="ar-SA"/>
        </w:rPr>
        <w:t>。</w:t>
      </w:r>
      <w:r>
        <w:rPr>
          <w:rFonts w:hint="eastAsia" w:ascii="Times New Roman" w:hAnsi="Times New Roman" w:eastAsia="仿宋_GB2312" w:cs="Times New Roman"/>
          <w:snapToGrid/>
          <w:color w:val="auto"/>
          <w:kern w:val="2"/>
          <w:sz w:val="30"/>
          <w:szCs w:val="30"/>
          <w:highlight w:val="none"/>
          <w:lang w:val="en-US" w:eastAsia="zh-CN" w:bidi="ar-SA"/>
        </w:rPr>
        <w:t>开展市域范围内生态产品价值实现基础信息调查，摸清各类生态产品数量、质量等底数，建立生态产品目录及价值实现模式清单。探索有利于生态产品价值实现的财政制度和绿色金融政策，实行生态保护成效与资金分配挂钩的激励约束机制。探索以生态环境为导向的城市开发模式（EOD），拓展生态产品价值实现新路径。</w:t>
      </w:r>
    </w:p>
    <w:p w14:paraId="41EBBD63">
      <w:pPr>
        <w:pStyle w:val="4"/>
        <w:keepNext w:val="0"/>
        <w:keepLines w:val="0"/>
        <w:pageBreakBefore w:val="0"/>
        <w:widowControl w:val="0"/>
        <w:numPr>
          <w:ilvl w:val="0"/>
          <w:numId w:val="13"/>
        </w:numPr>
        <w:kinsoku/>
        <w:wordWrap/>
        <w:overflowPunct/>
        <w:topLinePunct w:val="0"/>
        <w:autoSpaceDE/>
        <w:autoSpaceDN/>
        <w:bidi w:val="0"/>
        <w:adjustRightInd/>
        <w:snapToGrid/>
        <w:ind w:left="425" w:leftChars="0" w:hanging="425" w:firstLineChars="0"/>
        <w:jc w:val="both"/>
        <w:textAlignment w:val="auto"/>
        <w:rPr>
          <w:rFonts w:hint="eastAsia" w:ascii="仿宋_GB2312" w:hAnsi="仿宋_GB2312" w:eastAsia="仿宋_GB2312" w:cs="仿宋_GB2312"/>
          <w:snapToGrid/>
          <w:kern w:val="2"/>
          <w:sz w:val="30"/>
          <w:szCs w:val="30"/>
          <w:highlight w:val="none"/>
          <w:lang w:val="en-US" w:eastAsia="zh-CN"/>
        </w:rPr>
      </w:pPr>
      <w:bookmarkStart w:id="100" w:name="_Toc30874"/>
      <w:bookmarkStart w:id="101" w:name="_Toc25254"/>
      <w:bookmarkStart w:id="102" w:name="_Toc12740"/>
      <w:r>
        <w:rPr>
          <w:rFonts w:hint="eastAsia" w:ascii="仿宋_GB2312" w:hAnsi="仿宋_GB2312" w:eastAsia="仿宋_GB2312" w:cs="仿宋_GB2312"/>
          <w:snapToGrid/>
          <w:kern w:val="2"/>
          <w:sz w:val="30"/>
          <w:szCs w:val="30"/>
          <w:highlight w:val="none"/>
          <w:lang w:val="en-US" w:eastAsia="zh-CN"/>
        </w:rPr>
        <w:t>建立健全现代环境治理体系</w:t>
      </w:r>
      <w:bookmarkEnd w:id="100"/>
      <w:bookmarkEnd w:id="101"/>
      <w:bookmarkEnd w:id="102"/>
    </w:p>
    <w:p w14:paraId="7A685DB0">
      <w:pPr>
        <w:pStyle w:val="10"/>
        <w:keepNext w:val="0"/>
        <w:keepLines w:val="0"/>
        <w:pageBreakBefore w:val="0"/>
        <w:kinsoku/>
        <w:wordWrap/>
        <w:overflowPunct/>
        <w:topLinePunct w:val="0"/>
        <w:autoSpaceDE/>
        <w:autoSpaceDN/>
        <w:bidi w:val="0"/>
        <w:adjustRightInd/>
        <w:snapToGrid/>
        <w:spacing w:line="360" w:lineRule="auto"/>
        <w:ind w:left="0" w:leftChars="0" w:firstLine="602" w:firstLineChars="200"/>
        <w:jc w:val="both"/>
        <w:textAlignment w:val="auto"/>
        <w:rPr>
          <w:rFonts w:hint="eastAsia" w:eastAsia="仿宋_GB2312"/>
          <w:color w:val="000000"/>
          <w:sz w:val="30"/>
          <w:szCs w:val="30"/>
          <w:highlight w:val="none"/>
        </w:rPr>
      </w:pPr>
      <w:r>
        <w:rPr>
          <w:rFonts w:hint="eastAsia" w:eastAsia="仿宋_GB2312"/>
          <w:b/>
          <w:bCs/>
          <w:color w:val="000000"/>
          <w:sz w:val="30"/>
          <w:szCs w:val="30"/>
          <w:highlight w:val="none"/>
          <w:lang w:val="en-US" w:eastAsia="zh-CN" w:bidi="ar"/>
        </w:rPr>
        <w:t>健全</w:t>
      </w:r>
      <w:r>
        <w:rPr>
          <w:rFonts w:eastAsia="仿宋_GB2312"/>
          <w:b/>
          <w:bCs/>
          <w:color w:val="000000"/>
          <w:sz w:val="30"/>
          <w:szCs w:val="30"/>
          <w:highlight w:val="none"/>
          <w:lang w:bidi="ar"/>
        </w:rPr>
        <w:t>生态环境保护法治</w:t>
      </w:r>
      <w:r>
        <w:rPr>
          <w:rFonts w:hint="eastAsia" w:eastAsia="仿宋_GB2312"/>
          <w:b/>
          <w:bCs/>
          <w:color w:val="000000"/>
          <w:sz w:val="30"/>
          <w:szCs w:val="30"/>
          <w:highlight w:val="none"/>
          <w:lang w:val="en-US" w:eastAsia="zh-CN" w:bidi="ar"/>
        </w:rPr>
        <w:t>体系</w:t>
      </w:r>
      <w:r>
        <w:rPr>
          <w:rFonts w:eastAsia="仿宋_GB2312"/>
          <w:b/>
          <w:bCs/>
          <w:color w:val="000000"/>
          <w:sz w:val="30"/>
          <w:szCs w:val="30"/>
          <w:highlight w:val="none"/>
          <w:lang w:bidi="ar"/>
        </w:rPr>
        <w:t>。</w:t>
      </w:r>
      <w:r>
        <w:rPr>
          <w:rFonts w:hint="eastAsia" w:eastAsia="仿宋_GB2312"/>
          <w:color w:val="000000"/>
          <w:sz w:val="30"/>
          <w:szCs w:val="30"/>
          <w:highlight w:val="none"/>
          <w:lang w:eastAsia="zh-CN"/>
        </w:rPr>
        <w:t>推进生态环境保护地方立法，加快松花江饮用水水源保护、重点污染物排放总量控制等地方性法规立改废</w:t>
      </w:r>
      <w:r>
        <w:rPr>
          <w:rFonts w:hint="eastAsia" w:eastAsia="仿宋_GB2312"/>
          <w:color w:val="000000"/>
          <w:sz w:val="30"/>
          <w:szCs w:val="30"/>
          <w:highlight w:val="none"/>
        </w:rPr>
        <w:t>，加强生态环境保护法律宣传普及。健全生态环境损害赔偿制度，全面推进生态环境损害赔偿工作。强化生态环境行政执法与刑事司法衔接，建立健全生态环境部门、公安机关、检察机关、审判机关信息共享、案情通报、案件移送机制，联合开展专项行动。全面实施排污许可</w:t>
      </w:r>
      <w:r>
        <w:rPr>
          <w:rFonts w:hint="eastAsia" w:eastAsia="仿宋_GB2312"/>
          <w:color w:val="000000"/>
          <w:sz w:val="30"/>
          <w:szCs w:val="30"/>
          <w:highlight w:val="none"/>
          <w:lang w:eastAsia="zh-CN"/>
        </w:rPr>
        <w:t>“</w:t>
      </w:r>
      <w:r>
        <w:rPr>
          <w:rFonts w:hint="eastAsia" w:eastAsia="仿宋_GB2312"/>
          <w:color w:val="000000"/>
          <w:sz w:val="30"/>
          <w:szCs w:val="30"/>
          <w:highlight w:val="none"/>
        </w:rPr>
        <w:t>一证式</w:t>
      </w:r>
      <w:r>
        <w:rPr>
          <w:rFonts w:hint="eastAsia" w:eastAsia="仿宋_GB2312"/>
          <w:color w:val="000000"/>
          <w:sz w:val="30"/>
          <w:szCs w:val="30"/>
          <w:highlight w:val="none"/>
          <w:lang w:eastAsia="zh-CN"/>
        </w:rPr>
        <w:t>”</w:t>
      </w:r>
      <w:r>
        <w:rPr>
          <w:rFonts w:hint="eastAsia" w:eastAsia="仿宋_GB2312"/>
          <w:color w:val="000000"/>
          <w:sz w:val="30"/>
          <w:szCs w:val="30"/>
          <w:highlight w:val="none"/>
        </w:rPr>
        <w:t>管理，严厉打击环境违法犯罪行为。到</w:t>
      </w:r>
      <w:r>
        <w:rPr>
          <w:rFonts w:hint="eastAsia" w:ascii="仿宋_GB2312" w:hAnsi="仿宋_GB2312" w:eastAsia="仿宋_GB2312" w:cs="仿宋_GB2312"/>
          <w:color w:val="000000"/>
          <w:sz w:val="30"/>
          <w:szCs w:val="30"/>
          <w:highlight w:val="none"/>
        </w:rPr>
        <w:t>2025</w:t>
      </w:r>
      <w:r>
        <w:rPr>
          <w:rFonts w:hint="eastAsia" w:eastAsia="仿宋_GB2312"/>
          <w:color w:val="000000"/>
          <w:sz w:val="30"/>
          <w:szCs w:val="30"/>
          <w:highlight w:val="none"/>
        </w:rPr>
        <w:t>年，基本形成导向清晰、决策科学、执行有力、激励有效、多元参与、良性互动的生态环境治理体系。</w:t>
      </w:r>
    </w:p>
    <w:p w14:paraId="3215F416">
      <w:pPr>
        <w:pStyle w:val="10"/>
        <w:keepNext w:val="0"/>
        <w:keepLines w:val="0"/>
        <w:pageBreakBefore w:val="0"/>
        <w:kinsoku/>
        <w:wordWrap/>
        <w:overflowPunct/>
        <w:topLinePunct w:val="0"/>
        <w:autoSpaceDE/>
        <w:autoSpaceDN/>
        <w:bidi w:val="0"/>
        <w:adjustRightInd/>
        <w:snapToGrid/>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Hans" w:bidi="ar-SA"/>
        </w:rPr>
      </w:pPr>
      <w:r>
        <w:rPr>
          <w:rFonts w:hint="eastAsia" w:ascii="Times New Roman" w:hAnsi="Times New Roman" w:eastAsia="仿宋_GB2312" w:cs="Times New Roman"/>
          <w:b/>
          <w:bCs/>
          <w:snapToGrid/>
          <w:color w:val="auto"/>
          <w:kern w:val="2"/>
          <w:sz w:val="30"/>
          <w:szCs w:val="30"/>
          <w:highlight w:val="none"/>
          <w:lang w:val="en-US" w:eastAsia="zh-CN" w:bidi="ar-SA"/>
        </w:rPr>
        <w:t>完善生态环境信息公开制度。</w:t>
      </w:r>
      <w:r>
        <w:rPr>
          <w:rFonts w:hint="eastAsia" w:ascii="Times New Roman" w:hAnsi="Times New Roman" w:eastAsia="仿宋_GB2312" w:cs="Times New Roman"/>
          <w:snapToGrid/>
          <w:color w:val="auto"/>
          <w:kern w:val="2"/>
          <w:sz w:val="30"/>
          <w:szCs w:val="30"/>
          <w:highlight w:val="none"/>
          <w:lang w:val="en-US" w:eastAsia="zh-CN" w:bidi="ar-SA"/>
        </w:rPr>
        <w:t>依法扩大生态环境信息主动公开范围，定期发布环境质量、政策法规、项目审批和案件处理等信息。充分发挥微博、微信、移动客户端等新媒体平台灵活便捷、互动性强的优势，做好信息发布、政策解读和办事服务工作。畅通公众参与渠道，健全信访投诉等举报、查处、反馈机制。</w:t>
      </w:r>
      <w:r>
        <w:rPr>
          <w:rFonts w:hint="eastAsia" w:ascii="Times New Roman" w:hAnsi="Times New Roman" w:eastAsia="仿宋_GB2312" w:cs="Times New Roman"/>
          <w:snapToGrid/>
          <w:color w:val="auto"/>
          <w:kern w:val="2"/>
          <w:sz w:val="30"/>
          <w:szCs w:val="30"/>
          <w:highlight w:val="none"/>
          <w:lang w:val="en-US" w:eastAsia="zh-Hans" w:bidi="ar-SA"/>
        </w:rPr>
        <w:t>重点企业排污信息等环境信息应在</w:t>
      </w:r>
      <w:r>
        <w:rPr>
          <w:rFonts w:hint="eastAsia" w:ascii="Times New Roman" w:hAnsi="Times New Roman" w:eastAsia="仿宋_GB2312" w:cs="Times New Roman"/>
          <w:snapToGrid/>
          <w:color w:val="auto"/>
          <w:kern w:val="2"/>
          <w:sz w:val="30"/>
          <w:szCs w:val="30"/>
          <w:highlight w:val="none"/>
          <w:lang w:val="en-US" w:eastAsia="zh-CN" w:bidi="ar-SA"/>
        </w:rPr>
        <w:t>市</w:t>
      </w:r>
      <w:r>
        <w:rPr>
          <w:rFonts w:hint="eastAsia" w:ascii="Times New Roman" w:hAnsi="Times New Roman" w:eastAsia="仿宋_GB2312" w:cs="Times New Roman"/>
          <w:snapToGrid/>
          <w:color w:val="auto"/>
          <w:kern w:val="2"/>
          <w:sz w:val="30"/>
          <w:szCs w:val="30"/>
          <w:highlight w:val="none"/>
          <w:lang w:val="en-US" w:eastAsia="zh-Hans" w:bidi="ar-SA"/>
        </w:rPr>
        <w:t>门户网站生态环境版块向社会公开，鼓励排污企业、生态环境基础设施运营单位、有关科研监测单位设立环境设施开放日。</w:t>
      </w:r>
    </w:p>
    <w:p w14:paraId="1D1ACC9D">
      <w:pPr>
        <w:pStyle w:val="10"/>
        <w:keepNext w:val="0"/>
        <w:keepLines w:val="0"/>
        <w:pageBreakBefore w:val="0"/>
        <w:kinsoku/>
        <w:wordWrap/>
        <w:overflowPunct/>
        <w:topLinePunct w:val="0"/>
        <w:autoSpaceDE/>
        <w:autoSpaceDN/>
        <w:bidi w:val="0"/>
        <w:adjustRightInd/>
        <w:snapToGrid/>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推行环境污染第三方治理制度。</w:t>
      </w:r>
      <w:r>
        <w:rPr>
          <w:rFonts w:hint="eastAsia" w:ascii="Times New Roman" w:hAnsi="Times New Roman" w:eastAsia="仿宋_GB2312" w:cs="Times New Roman"/>
          <w:snapToGrid/>
          <w:color w:val="auto"/>
          <w:kern w:val="2"/>
          <w:sz w:val="30"/>
          <w:szCs w:val="30"/>
          <w:highlight w:val="none"/>
          <w:lang w:val="en-US" w:eastAsia="zh-CN" w:bidi="ar-SA"/>
        </w:rPr>
        <w:t>在污水、垃圾、水土流失、生态保护与修复等重点领域，逐步推行环境污染第三方治理。完善第三方污水处理设施运营、环境保护咨询、环保管理、环保宣传等相关制度，探索建立自然资源资产第三方统计、环境卫生等第三方巡查、政绩考核第三方评定制度。对不按要求进行污染治理和风险管控的企业，强制实施第三方治理，所需费用由责任主体承担。</w:t>
      </w:r>
    </w:p>
    <w:p w14:paraId="19576563">
      <w:pPr>
        <w:pStyle w:val="10"/>
        <w:keepNext w:val="0"/>
        <w:keepLines w:val="0"/>
        <w:pageBreakBefore w:val="0"/>
        <w:kinsoku/>
        <w:wordWrap/>
        <w:overflowPunct/>
        <w:topLinePunct w:val="0"/>
        <w:autoSpaceDE/>
        <w:autoSpaceDN/>
        <w:bidi w:val="0"/>
        <w:adjustRightInd/>
        <w:snapToGrid/>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Hans" w:bidi="ar-SA"/>
        </w:rPr>
      </w:pPr>
      <w:r>
        <w:rPr>
          <w:rFonts w:hint="eastAsia" w:ascii="Times New Roman" w:hAnsi="Times New Roman" w:eastAsia="仿宋_GB2312" w:cs="Times New Roman"/>
          <w:b/>
          <w:bCs/>
          <w:snapToGrid/>
          <w:color w:val="auto"/>
          <w:kern w:val="2"/>
          <w:sz w:val="30"/>
          <w:szCs w:val="30"/>
          <w:highlight w:val="none"/>
          <w:lang w:val="en-US" w:eastAsia="zh-CN" w:bidi="ar-SA"/>
        </w:rPr>
        <w:t>完善公众参与制度。</w:t>
      </w:r>
      <w:r>
        <w:rPr>
          <w:rFonts w:hint="eastAsia" w:ascii="Times New Roman" w:hAnsi="Times New Roman" w:eastAsia="仿宋_GB2312" w:cs="Times New Roman"/>
          <w:snapToGrid/>
          <w:color w:val="auto"/>
          <w:kern w:val="2"/>
          <w:sz w:val="30"/>
          <w:szCs w:val="30"/>
          <w:highlight w:val="none"/>
          <w:lang w:val="en-US" w:eastAsia="zh-Hans" w:bidi="ar-SA"/>
        </w:rPr>
        <w:t>健全举报反馈、听证等公众参与机制，实施生态环境违法行为举报奖励制度，支持引导社会组织、环保志愿者在生态环境监管、行政许可、政策制定、企业履行环保责任等方面发挥积极作用。鼓励新闻媒体对</w:t>
      </w:r>
      <w:r>
        <w:rPr>
          <w:rFonts w:hint="eastAsia" w:ascii="Times New Roman" w:hAnsi="Times New Roman" w:eastAsia="仿宋_GB2312" w:cs="Times New Roman"/>
          <w:snapToGrid/>
          <w:color w:val="auto"/>
          <w:kern w:val="2"/>
          <w:sz w:val="30"/>
          <w:szCs w:val="30"/>
          <w:highlight w:val="none"/>
          <w:lang w:val="en-US" w:eastAsia="zh-CN" w:bidi="ar-SA"/>
        </w:rPr>
        <w:t>生态</w:t>
      </w:r>
      <w:r>
        <w:rPr>
          <w:rFonts w:hint="eastAsia" w:ascii="Times New Roman" w:hAnsi="Times New Roman" w:eastAsia="仿宋_GB2312" w:cs="Times New Roman"/>
          <w:snapToGrid/>
          <w:color w:val="auto"/>
          <w:kern w:val="2"/>
          <w:sz w:val="30"/>
          <w:szCs w:val="30"/>
          <w:highlight w:val="none"/>
          <w:lang w:val="en-US" w:eastAsia="zh-Hans" w:bidi="ar-SA"/>
        </w:rPr>
        <w:t>环境违法行为进行曝光，健康引导生态环境公益诉讼依法开展。发动全社会积极参与绿色出行、绿色消费、垃圾分类等绿色生活方式创建活动，行业协会、商会等要积极推动节能、降耗、治污、减排行业自律，完善环保志愿者参与机制。</w:t>
      </w:r>
    </w:p>
    <w:p w14:paraId="7DAF0FF9">
      <w:pPr>
        <w:pStyle w:val="10"/>
        <w:keepNext w:val="0"/>
        <w:keepLines w:val="0"/>
        <w:pageBreakBefore w:val="0"/>
        <w:kinsoku/>
        <w:wordWrap/>
        <w:overflowPunct/>
        <w:topLinePunct w:val="0"/>
        <w:autoSpaceDE/>
        <w:autoSpaceDN/>
        <w:bidi w:val="0"/>
        <w:adjustRightInd/>
        <w:snapToGrid/>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Hans" w:bidi="ar-SA"/>
        </w:rPr>
      </w:pPr>
      <w:r>
        <w:rPr>
          <w:rFonts w:hint="eastAsia" w:ascii="Times New Roman" w:hAnsi="Times New Roman" w:eastAsia="仿宋_GB2312" w:cs="Times New Roman"/>
          <w:b/>
          <w:bCs/>
          <w:snapToGrid/>
          <w:color w:val="auto"/>
          <w:kern w:val="2"/>
          <w:sz w:val="30"/>
          <w:szCs w:val="30"/>
          <w:highlight w:val="none"/>
          <w:lang w:val="en-US" w:eastAsia="zh-Hans" w:bidi="ar-SA"/>
        </w:rPr>
        <w:t>构建高效的环境治理监督体系。</w:t>
      </w:r>
      <w:r>
        <w:rPr>
          <w:rFonts w:hint="eastAsia" w:ascii="Times New Roman" w:hAnsi="Times New Roman" w:eastAsia="仿宋_GB2312" w:cs="Times New Roman"/>
          <w:snapToGrid/>
          <w:color w:val="auto"/>
          <w:kern w:val="2"/>
          <w:sz w:val="30"/>
          <w:szCs w:val="30"/>
          <w:highlight w:val="none"/>
          <w:lang w:val="en-US" w:eastAsia="zh-Hans" w:bidi="ar-SA"/>
        </w:rPr>
        <w:t>落实生态环境保护综合行政执法各项</w:t>
      </w:r>
      <w:r>
        <w:rPr>
          <w:rFonts w:hint="eastAsia" w:ascii="Times New Roman" w:hAnsi="Times New Roman" w:eastAsia="仿宋_GB2312" w:cs="Times New Roman"/>
          <w:snapToGrid/>
          <w:color w:val="auto"/>
          <w:kern w:val="2"/>
          <w:sz w:val="30"/>
          <w:szCs w:val="30"/>
          <w:highlight w:val="none"/>
          <w:lang w:val="en-US" w:eastAsia="zh-CN" w:bidi="ar-SA"/>
        </w:rPr>
        <w:t>任务</w:t>
      </w:r>
      <w:r>
        <w:rPr>
          <w:rFonts w:hint="eastAsia" w:ascii="Times New Roman" w:hAnsi="Times New Roman" w:eastAsia="仿宋_GB2312" w:cs="Times New Roman"/>
          <w:snapToGrid/>
          <w:color w:val="auto"/>
          <w:kern w:val="2"/>
          <w:sz w:val="30"/>
          <w:szCs w:val="30"/>
          <w:highlight w:val="none"/>
          <w:lang w:val="en-US" w:eastAsia="zh-Hans" w:bidi="ar-SA"/>
        </w:rPr>
        <w:t>措施，优化职责及编制配置，</w:t>
      </w:r>
      <w:r>
        <w:rPr>
          <w:rFonts w:hint="eastAsia" w:ascii="Times New Roman" w:hAnsi="Times New Roman" w:eastAsia="仿宋_GB2312" w:cs="Times New Roman"/>
          <w:snapToGrid/>
          <w:color w:val="auto"/>
          <w:kern w:val="2"/>
          <w:sz w:val="30"/>
          <w:szCs w:val="30"/>
          <w:highlight w:val="none"/>
          <w:lang w:val="en-US" w:eastAsia="zh-CN" w:bidi="ar-SA"/>
        </w:rPr>
        <w:t>各乡镇</w:t>
      </w:r>
      <w:r>
        <w:rPr>
          <w:rFonts w:hint="eastAsia" w:ascii="Times New Roman" w:hAnsi="Times New Roman" w:eastAsia="仿宋_GB2312" w:cs="Times New Roman"/>
          <w:snapToGrid/>
          <w:color w:val="auto"/>
          <w:kern w:val="2"/>
          <w:sz w:val="30"/>
          <w:szCs w:val="30"/>
          <w:highlight w:val="none"/>
          <w:lang w:val="en-US" w:eastAsia="zh-Hans" w:bidi="ar-SA"/>
        </w:rPr>
        <w:t>要明确承担生态环境保护责任的机构和人员，切实将生态环境保护责任落到实处。加快建立以排污许可证为核心的“一证式”监管手段，全面试行行政执法公示制度和全过程记录制度、重大执法决定法制审核制度，规范自由裁量权的行使。建立生态环境保护综合行政执法机关与公检法机关信息共享、专业支持、案件通报和移送制度。加快完善天地一体、上下协同信息共享的生态环境监测网络。</w:t>
      </w:r>
    </w:p>
    <w:p w14:paraId="6A71FC3C">
      <w:pPr>
        <w:pStyle w:val="10"/>
        <w:keepNext w:val="0"/>
        <w:keepLines w:val="0"/>
        <w:pageBreakBefore w:val="0"/>
        <w:kinsoku/>
        <w:wordWrap/>
        <w:overflowPunct/>
        <w:topLinePunct w:val="0"/>
        <w:autoSpaceDE/>
        <w:autoSpaceDN/>
        <w:bidi w:val="0"/>
        <w:adjustRightInd/>
        <w:snapToGrid/>
        <w:spacing w:line="360" w:lineRule="auto"/>
        <w:ind w:left="0" w:leftChars="0" w:firstLine="602" w:firstLineChars="200"/>
        <w:jc w:val="both"/>
        <w:textAlignment w:val="auto"/>
        <w:rPr>
          <w:rFonts w:hint="eastAsia" w:ascii="Times New Roman" w:hAnsi="Times New Roman" w:eastAsia="仿宋_GB2312" w:cs="Times New Roman"/>
          <w:snapToGrid/>
          <w:color w:val="auto"/>
          <w:kern w:val="2"/>
          <w:sz w:val="30"/>
          <w:szCs w:val="30"/>
          <w:highlight w:val="none"/>
          <w:lang w:val="en-US" w:eastAsia="zh-Hans" w:bidi="ar-SA"/>
        </w:rPr>
      </w:pPr>
      <w:r>
        <w:rPr>
          <w:rFonts w:hint="eastAsia" w:ascii="Times New Roman" w:hAnsi="Times New Roman" w:eastAsia="仿宋_GB2312" w:cs="Times New Roman"/>
          <w:b/>
          <w:bCs/>
          <w:snapToGrid/>
          <w:color w:val="auto"/>
          <w:kern w:val="2"/>
          <w:sz w:val="30"/>
          <w:szCs w:val="30"/>
          <w:highlight w:val="none"/>
          <w:lang w:val="en-US" w:eastAsia="zh-CN" w:bidi="ar-SA"/>
        </w:rPr>
        <w:t>探索环境经济政策体系。</w:t>
      </w:r>
      <w:r>
        <w:rPr>
          <w:rFonts w:hint="eastAsia" w:ascii="Times New Roman" w:hAnsi="Times New Roman" w:eastAsia="仿宋_GB2312" w:cs="Times New Roman"/>
          <w:snapToGrid/>
          <w:color w:val="auto"/>
          <w:kern w:val="2"/>
          <w:sz w:val="30"/>
          <w:szCs w:val="30"/>
          <w:highlight w:val="none"/>
          <w:lang w:val="en-US" w:eastAsia="zh-CN" w:bidi="ar-SA"/>
        </w:rPr>
        <w:t>定期公布生态文明建设项目融资意向，引导各类社会资本参与环境治理投资、建设、运行，加大“绿色”招商项目奖励标准，对招商引资工作有贡献的中介组织和个人设立专项激励。完善绿色招商评估机制，把资源招商、生态效益纳入经济社会发展评价体系，进行年度和任期目标管理，促使各级各部门创造更多绿色GDP、民生GDP，敦促营造更加和谐宽松、服务优质的“绿色”招商引资大环境，确保招商项目“引得来、留得住、发展好”。严格执行环境保护税法，贯彻落实好现行促进环境保护和污染防治的税收优惠政策。探索环保融资担保质押模式，充分利用多渠道商业融资手段，推行绿色信贷。</w:t>
      </w:r>
      <w:r>
        <w:rPr>
          <w:rFonts w:hint="eastAsia" w:ascii="Times New Roman" w:hAnsi="Times New Roman" w:eastAsia="仿宋_GB2312" w:cs="Times New Roman"/>
          <w:snapToGrid/>
          <w:color w:val="auto"/>
          <w:kern w:val="2"/>
          <w:sz w:val="30"/>
          <w:szCs w:val="30"/>
          <w:highlight w:val="none"/>
          <w:lang w:val="en-US" w:eastAsia="zh-Hans" w:bidi="ar-SA"/>
        </w:rPr>
        <w:t>到2030年，基本形成系统完整、协同高效、科学严密的生态文明制度体系。</w:t>
      </w:r>
    </w:p>
    <w:p w14:paraId="72A3FEEB">
      <w:pPr>
        <w:pStyle w:val="2"/>
        <w:keepNext w:val="0"/>
        <w:keepLines w:val="0"/>
        <w:pageBreakBefore w:val="0"/>
        <w:widowControl w:val="0"/>
        <w:kinsoku/>
        <w:wordWrap/>
        <w:overflowPunct/>
        <w:topLinePunct w:val="0"/>
        <w:autoSpaceDE/>
        <w:autoSpaceDN/>
        <w:bidi w:val="0"/>
        <w:adjustRightInd/>
        <w:snapToGrid/>
        <w:jc w:val="both"/>
        <w:textAlignment w:val="auto"/>
        <w:rPr>
          <w:rFonts w:hint="eastAsia" w:cstheme="minorBidi"/>
          <w:snapToGrid/>
          <w:color w:val="auto"/>
          <w:szCs w:val="24"/>
          <w:highlight w:val="none"/>
          <w:lang w:eastAsia="zh-CN"/>
        </w:rPr>
      </w:pPr>
      <w:bookmarkStart w:id="103" w:name="_Toc2329"/>
      <w:bookmarkStart w:id="104" w:name="_Toc13069"/>
      <w:r>
        <w:rPr>
          <w:rFonts w:hint="eastAsia" w:cstheme="minorBidi"/>
          <w:snapToGrid/>
          <w:color w:val="auto"/>
          <w:szCs w:val="24"/>
          <w:highlight w:val="none"/>
          <w:lang w:eastAsia="zh-CN"/>
        </w:rPr>
        <w:t>四、重点工程与效益分析</w:t>
      </w:r>
      <w:bookmarkEnd w:id="103"/>
      <w:bookmarkEnd w:id="104"/>
    </w:p>
    <w:p w14:paraId="3B38176F">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105" w:name="_Toc20924"/>
      <w:bookmarkStart w:id="106" w:name="_Toc13630"/>
      <w:bookmarkStart w:id="107" w:name="_Toc22635"/>
      <w:r>
        <w:rPr>
          <w:rFonts w:hint="eastAsia" w:ascii="方正楷体_GB2312" w:hAnsi="方正楷体_GB2312" w:eastAsia="方正楷体_GB2312" w:cs="方正楷体_GB2312"/>
          <w:b/>
          <w:bCs/>
          <w:snapToGrid/>
          <w:kern w:val="2"/>
          <w:szCs w:val="24"/>
          <w:highlight w:val="none"/>
          <w:lang w:eastAsia="zh-CN"/>
        </w:rPr>
        <w:t>（一）工程内容与投资估算</w:t>
      </w:r>
      <w:bookmarkEnd w:id="105"/>
      <w:bookmarkEnd w:id="106"/>
      <w:bookmarkEnd w:id="107"/>
    </w:p>
    <w:p w14:paraId="0CFFAEE5">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0"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snapToGrid/>
          <w:color w:val="auto"/>
          <w:kern w:val="2"/>
          <w:sz w:val="30"/>
          <w:szCs w:val="30"/>
          <w:highlight w:val="none"/>
          <w:lang w:val="en-US" w:eastAsia="zh-CN" w:bidi="ar-SA"/>
        </w:rPr>
        <w:t>围绕五常市“现代五常、创新五常、文化五常、生态五常、和谐五常”新型城镇化示范建设目标，针对五常市生态文明建设存在的主要问题、规划目标指标和重点建设任务，提出与规划重点任务措施相匹配的21项落地工程项目，总投资约60.895亿元。其中，目标责任体系2项、投资额0.03亿元；生态安全体系9项、投资额15.43亿元；生态经济体系5项、投资额44.40亿元；生态文化体系3项、投资额1.015亿元；生态文明制度2项、投资额0.02万元。</w:t>
      </w:r>
    </w:p>
    <w:p w14:paraId="153D3118">
      <w:pPr>
        <w:pStyle w:val="19"/>
        <w:ind w:left="0" w:leftChars="0" w:firstLine="0" w:firstLineChars="0"/>
        <w:rPr>
          <w:rFonts w:hint="eastAsia"/>
          <w:highlight w:val="none"/>
          <w:lang w:val="en-US" w:eastAsia="zh-CN"/>
        </w:rPr>
        <w:sectPr>
          <w:footerReference r:id="rId9" w:type="default"/>
          <w:pgSz w:w="11907" w:h="16839"/>
          <w:pgMar w:top="1431" w:right="1785" w:bottom="1358" w:left="1785" w:header="0" w:footer="1197" w:gutter="0"/>
          <w:pgNumType w:fmt="decimal"/>
          <w:cols w:space="720" w:num="1"/>
        </w:sectPr>
      </w:pPr>
    </w:p>
    <w:p w14:paraId="4D764314">
      <w:pPr>
        <w:pStyle w:val="9"/>
        <w:spacing w:line="360" w:lineRule="auto"/>
        <w:ind w:firstLine="0" w:firstLineChars="0"/>
        <w:jc w:val="center"/>
        <w:rPr>
          <w:sz w:val="21"/>
          <w:szCs w:val="21"/>
          <w:highlight w:val="none"/>
        </w:rPr>
      </w:pPr>
      <w:r>
        <w:rPr>
          <w:rFonts w:hint="eastAsia"/>
          <w:sz w:val="21"/>
          <w:szCs w:val="21"/>
          <w:highlight w:val="none"/>
        </w:rPr>
        <w:t>表</w:t>
      </w:r>
      <w:r>
        <w:rPr>
          <w:rFonts w:hint="eastAsia"/>
          <w:sz w:val="21"/>
          <w:szCs w:val="21"/>
          <w:highlight w:val="none"/>
          <w:lang w:val="en-US" w:eastAsia="zh-CN"/>
        </w:rPr>
        <w:t xml:space="preserve">2 </w:t>
      </w:r>
      <w:r>
        <w:rPr>
          <w:rFonts w:hint="eastAsia"/>
          <w:sz w:val="21"/>
          <w:szCs w:val="21"/>
          <w:highlight w:val="none"/>
        </w:rPr>
        <w:t>重点工程项目</w:t>
      </w:r>
    </w:p>
    <w:tbl>
      <w:tblPr>
        <w:tblStyle w:val="20"/>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11"/>
        <w:gridCol w:w="1713"/>
        <w:gridCol w:w="6064"/>
        <w:gridCol w:w="1255"/>
        <w:gridCol w:w="1319"/>
        <w:gridCol w:w="1511"/>
      </w:tblGrid>
      <w:tr w14:paraId="02AF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tcBorders>
              <w:top w:val="single" w:color="auto" w:sz="4" w:space="0"/>
              <w:left w:val="single" w:color="auto" w:sz="4" w:space="0"/>
              <w:bottom w:val="single" w:color="auto" w:sz="4" w:space="0"/>
              <w:right w:val="single" w:color="auto" w:sz="4" w:space="0"/>
            </w:tcBorders>
            <w:noWrap/>
            <w:vAlign w:val="center"/>
          </w:tcPr>
          <w:p w14:paraId="202FB61A">
            <w:pPr>
              <w:widowControl/>
              <w:spacing w:line="360" w:lineRule="auto"/>
              <w:ind w:firstLine="0" w:firstLineChars="0"/>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kern w:val="0"/>
                <w:sz w:val="21"/>
                <w:szCs w:val="21"/>
                <w:highlight w:val="none"/>
                <w:lang w:val="en-US" w:eastAsia="zh-CN"/>
              </w:rPr>
              <w:t>任务</w:t>
            </w:r>
          </w:p>
        </w:tc>
        <w:tc>
          <w:tcPr>
            <w:tcW w:w="711" w:type="dxa"/>
            <w:tcBorders>
              <w:top w:val="single" w:color="auto" w:sz="4" w:space="0"/>
              <w:left w:val="single" w:color="auto" w:sz="4" w:space="0"/>
              <w:bottom w:val="single" w:color="auto" w:sz="4" w:space="0"/>
              <w:right w:val="single" w:color="auto" w:sz="4" w:space="0"/>
            </w:tcBorders>
            <w:vAlign w:val="center"/>
          </w:tcPr>
          <w:p w14:paraId="7DD8BB97">
            <w:pPr>
              <w:widowControl/>
              <w:spacing w:line="360" w:lineRule="auto"/>
              <w:ind w:firstLine="0" w:firstLineChars="0"/>
              <w:jc w:val="center"/>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rPr>
              <w:t>序号</w:t>
            </w:r>
          </w:p>
        </w:tc>
        <w:tc>
          <w:tcPr>
            <w:tcW w:w="1713" w:type="dxa"/>
            <w:tcBorders>
              <w:top w:val="single" w:color="auto" w:sz="4" w:space="0"/>
              <w:left w:val="single" w:color="auto" w:sz="4" w:space="0"/>
              <w:bottom w:val="single" w:color="auto" w:sz="4" w:space="0"/>
              <w:right w:val="single" w:color="auto" w:sz="4" w:space="0"/>
            </w:tcBorders>
            <w:noWrap/>
            <w:vAlign w:val="center"/>
          </w:tcPr>
          <w:p w14:paraId="54AACB5C">
            <w:pPr>
              <w:widowControl/>
              <w:spacing w:line="360" w:lineRule="auto"/>
              <w:ind w:firstLine="0" w:firstLineChars="0"/>
              <w:jc w:val="center"/>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lang w:val="en-US" w:eastAsia="zh-CN"/>
              </w:rPr>
              <w:t>建设</w:t>
            </w:r>
            <w:r>
              <w:rPr>
                <w:rFonts w:hint="eastAsia" w:ascii="仿宋_GB2312" w:hAnsi="仿宋_GB2312" w:eastAsia="仿宋_GB2312" w:cs="仿宋_GB2312"/>
                <w:b/>
                <w:kern w:val="0"/>
                <w:sz w:val="21"/>
                <w:szCs w:val="21"/>
                <w:highlight w:val="none"/>
              </w:rPr>
              <w:t>项目名称</w:t>
            </w:r>
          </w:p>
        </w:tc>
        <w:tc>
          <w:tcPr>
            <w:tcW w:w="6064" w:type="dxa"/>
            <w:tcBorders>
              <w:top w:val="single" w:color="auto" w:sz="4" w:space="0"/>
              <w:left w:val="single" w:color="auto" w:sz="4" w:space="0"/>
              <w:bottom w:val="single" w:color="auto" w:sz="4" w:space="0"/>
              <w:right w:val="single" w:color="auto" w:sz="4" w:space="0"/>
            </w:tcBorders>
            <w:noWrap/>
            <w:vAlign w:val="center"/>
          </w:tcPr>
          <w:p w14:paraId="1AB7EDE0">
            <w:pPr>
              <w:widowControl/>
              <w:spacing w:line="360" w:lineRule="auto"/>
              <w:ind w:firstLine="0" w:firstLineChars="0"/>
              <w:jc w:val="center"/>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rPr>
              <w:t>建设规模和内容</w:t>
            </w:r>
          </w:p>
        </w:tc>
        <w:tc>
          <w:tcPr>
            <w:tcW w:w="1255" w:type="dxa"/>
            <w:tcBorders>
              <w:top w:val="single" w:color="auto" w:sz="4" w:space="0"/>
              <w:left w:val="single" w:color="auto" w:sz="4" w:space="0"/>
              <w:bottom w:val="single" w:color="auto" w:sz="4" w:space="0"/>
              <w:right w:val="single" w:color="auto" w:sz="4" w:space="0"/>
            </w:tcBorders>
            <w:noWrap/>
            <w:vAlign w:val="center"/>
          </w:tcPr>
          <w:p w14:paraId="0E4C8B4F">
            <w:pPr>
              <w:widowControl/>
              <w:spacing w:line="360" w:lineRule="auto"/>
              <w:ind w:firstLine="0" w:firstLineChars="0"/>
              <w:jc w:val="center"/>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rPr>
              <w:t>投资</w:t>
            </w:r>
            <w:r>
              <w:rPr>
                <w:rFonts w:hint="eastAsia" w:ascii="仿宋_GB2312" w:hAnsi="仿宋_GB2312" w:eastAsia="仿宋_GB2312" w:cs="仿宋_GB2312"/>
                <w:b/>
                <w:kern w:val="0"/>
                <w:sz w:val="21"/>
                <w:szCs w:val="21"/>
                <w:highlight w:val="none"/>
                <w:lang w:val="en-US" w:eastAsia="zh-CN"/>
              </w:rPr>
              <w:t>估算</w:t>
            </w:r>
            <w:r>
              <w:rPr>
                <w:rFonts w:hint="eastAsia" w:ascii="仿宋_GB2312" w:hAnsi="仿宋_GB2312" w:eastAsia="仿宋_GB2312" w:cs="仿宋_GB2312"/>
                <w:b/>
                <w:kern w:val="0"/>
                <w:sz w:val="21"/>
                <w:szCs w:val="21"/>
                <w:highlight w:val="none"/>
                <w:lang w:eastAsia="zh-CN"/>
              </w:rPr>
              <w:t>（</w:t>
            </w:r>
            <w:r>
              <w:rPr>
                <w:rFonts w:hint="eastAsia" w:ascii="仿宋_GB2312" w:hAnsi="仿宋_GB2312" w:eastAsia="仿宋_GB2312" w:cs="仿宋_GB2312"/>
                <w:b/>
                <w:kern w:val="0"/>
                <w:sz w:val="21"/>
                <w:szCs w:val="21"/>
                <w:highlight w:val="none"/>
              </w:rPr>
              <w:t>万元</w:t>
            </w:r>
            <w:r>
              <w:rPr>
                <w:rFonts w:hint="eastAsia" w:ascii="仿宋_GB2312" w:hAnsi="仿宋_GB2312" w:eastAsia="仿宋_GB2312" w:cs="仿宋_GB2312"/>
                <w:b/>
                <w:kern w:val="0"/>
                <w:sz w:val="21"/>
                <w:szCs w:val="21"/>
                <w:highlight w:val="none"/>
                <w:lang w:eastAsia="zh-CN"/>
              </w:rPr>
              <w:t>）</w:t>
            </w:r>
          </w:p>
        </w:tc>
        <w:tc>
          <w:tcPr>
            <w:tcW w:w="1319" w:type="dxa"/>
            <w:tcBorders>
              <w:top w:val="single" w:color="auto" w:sz="4" w:space="0"/>
              <w:left w:val="single" w:color="auto" w:sz="4" w:space="0"/>
              <w:bottom w:val="single" w:color="auto" w:sz="4" w:space="0"/>
              <w:right w:val="single" w:color="auto" w:sz="4" w:space="0"/>
            </w:tcBorders>
            <w:noWrap/>
            <w:vAlign w:val="center"/>
          </w:tcPr>
          <w:p w14:paraId="631CE5E1">
            <w:pPr>
              <w:widowControl/>
              <w:spacing w:line="360" w:lineRule="auto"/>
              <w:ind w:firstLine="0" w:firstLineChars="0"/>
              <w:jc w:val="center"/>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lang w:val="en-US" w:eastAsia="zh-CN"/>
              </w:rPr>
              <w:t>建设</w:t>
            </w:r>
            <w:r>
              <w:rPr>
                <w:rFonts w:hint="eastAsia" w:ascii="仿宋_GB2312" w:hAnsi="仿宋_GB2312" w:eastAsia="仿宋_GB2312" w:cs="仿宋_GB2312"/>
                <w:b/>
                <w:kern w:val="0"/>
                <w:sz w:val="21"/>
                <w:szCs w:val="21"/>
                <w:highlight w:val="none"/>
              </w:rPr>
              <w:t>时限</w:t>
            </w:r>
          </w:p>
          <w:p w14:paraId="7D85EBFD">
            <w:pPr>
              <w:widowControl/>
              <w:spacing w:line="360" w:lineRule="auto"/>
              <w:ind w:firstLine="0" w:firstLineChars="0"/>
              <w:jc w:val="center"/>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rPr>
              <w:t>（年）</w:t>
            </w:r>
          </w:p>
        </w:tc>
        <w:tc>
          <w:tcPr>
            <w:tcW w:w="1511" w:type="dxa"/>
            <w:tcBorders>
              <w:top w:val="single" w:color="auto" w:sz="4" w:space="0"/>
              <w:left w:val="single" w:color="auto" w:sz="4" w:space="0"/>
              <w:bottom w:val="single" w:color="auto" w:sz="4" w:space="0"/>
              <w:right w:val="single" w:color="auto" w:sz="4" w:space="0"/>
            </w:tcBorders>
            <w:noWrap/>
            <w:vAlign w:val="center"/>
          </w:tcPr>
          <w:p w14:paraId="570F99F4">
            <w:pPr>
              <w:widowControl/>
              <w:spacing w:line="360" w:lineRule="auto"/>
              <w:ind w:firstLine="0" w:firstLineChars="0"/>
              <w:jc w:val="center"/>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rPr>
              <w:t>责任单位</w:t>
            </w:r>
          </w:p>
        </w:tc>
      </w:tr>
      <w:tr w14:paraId="66A5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tcBorders>
              <w:top w:val="single" w:color="auto" w:sz="4" w:space="0"/>
              <w:left w:val="single" w:color="auto" w:sz="4" w:space="0"/>
              <w:right w:val="single" w:color="auto" w:sz="4" w:space="0"/>
            </w:tcBorders>
            <w:noWrap/>
            <w:vAlign w:val="center"/>
          </w:tcPr>
          <w:p w14:paraId="4E3D90A2">
            <w:pPr>
              <w:widowControl/>
              <w:spacing w:line="360" w:lineRule="auto"/>
              <w:ind w:firstLine="0" w:firstLineChars="0"/>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bCs/>
                <w:sz w:val="21"/>
                <w:szCs w:val="21"/>
                <w:highlight w:val="none"/>
                <w:lang w:val="en-US" w:eastAsia="zh-CN"/>
              </w:rPr>
              <w:t>目标责任体系</w:t>
            </w:r>
          </w:p>
        </w:tc>
        <w:tc>
          <w:tcPr>
            <w:tcW w:w="711" w:type="dxa"/>
            <w:tcBorders>
              <w:top w:val="single" w:color="auto" w:sz="4" w:space="0"/>
              <w:left w:val="single" w:color="auto" w:sz="4" w:space="0"/>
              <w:bottom w:val="single" w:color="auto" w:sz="4" w:space="0"/>
              <w:right w:val="single" w:color="auto" w:sz="4" w:space="0"/>
            </w:tcBorders>
            <w:vAlign w:val="center"/>
          </w:tcPr>
          <w:p w14:paraId="38A84105">
            <w:pPr>
              <w:pStyle w:val="30"/>
              <w:widowControl/>
              <w:numPr>
                <w:ilvl w:val="0"/>
                <w:numId w:val="14"/>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D08E1F">
            <w:pPr>
              <w:widowControl/>
              <w:spacing w:line="360" w:lineRule="auto"/>
              <w:ind w:firstLine="0" w:firstLineChars="0"/>
              <w:jc w:val="both"/>
              <w:rPr>
                <w:rFonts w:hint="eastAsia" w:ascii="仿宋_GB2312" w:hAnsi="仿宋_GB2312" w:eastAsia="仿宋_GB2312" w:cs="仿宋_GB2312"/>
                <w:b/>
                <w:snapToGrid w:val="0"/>
                <w:color w:val="000000"/>
                <w:kern w:val="0"/>
                <w:sz w:val="21"/>
                <w:szCs w:val="21"/>
                <w:highlight w:val="none"/>
                <w:lang w:val="en-US" w:eastAsia="zh-CN" w:bidi="ar-SA"/>
              </w:rPr>
            </w:pPr>
            <w:r>
              <w:rPr>
                <w:rFonts w:hint="eastAsia" w:ascii="仿宋_GB2312" w:hAnsi="仿宋_GB2312" w:eastAsia="仿宋_GB2312" w:cs="仿宋_GB2312"/>
                <w:b w:val="0"/>
                <w:bCs/>
                <w:kern w:val="0"/>
                <w:sz w:val="21"/>
                <w:szCs w:val="21"/>
                <w:highlight w:val="none"/>
                <w:lang w:val="en-US" w:eastAsia="zh-CN"/>
              </w:rPr>
              <w:t>生态环境损害责任追究制度体系建设</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27F7B1">
            <w:pPr>
              <w:widowControl/>
              <w:spacing w:line="360" w:lineRule="auto"/>
              <w:ind w:firstLine="0" w:firstLineChars="0"/>
              <w:jc w:val="both"/>
              <w:rPr>
                <w:rFonts w:hint="eastAsia" w:ascii="仿宋_GB2312" w:hAnsi="仿宋_GB2312" w:eastAsia="仿宋_GB2312" w:cs="仿宋_GB2312"/>
                <w:b/>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依据国家、省、市相关要求，针对性制定五常市相关责任追究办法</w:t>
            </w:r>
            <w:r>
              <w:rPr>
                <w:rFonts w:hint="eastAsia" w:ascii="仿宋_GB2312" w:hAnsi="仿宋_GB2312" w:eastAsia="仿宋_GB2312" w:cs="仿宋_GB2312"/>
                <w:kern w:val="0"/>
                <w:sz w:val="21"/>
                <w:szCs w:val="21"/>
                <w:highlight w:val="none"/>
                <w:lang w:eastAsia="zh-CN"/>
              </w:rPr>
              <w:t>，对违背科学发展要求、在生态环境和资源保护方面造成严重破坏负有责任的相关地方党委和政府有关领导成员严格追责。</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3950CF">
            <w:pPr>
              <w:widowControl/>
              <w:spacing w:line="360" w:lineRule="auto"/>
              <w:ind w:firstLine="0" w:firstLineChars="0"/>
              <w:jc w:val="center"/>
              <w:rPr>
                <w:rFonts w:hint="eastAsia" w:ascii="仿宋_GB2312" w:hAnsi="仿宋_GB2312" w:eastAsia="仿宋_GB2312" w:cs="仿宋_GB2312"/>
                <w:b w:val="0"/>
                <w:bCs/>
                <w:snapToGrid w:val="0"/>
                <w:color w:val="000000"/>
                <w:kern w:val="0"/>
                <w:sz w:val="21"/>
                <w:szCs w:val="21"/>
                <w:highlight w:val="none"/>
                <w:lang w:val="en-US" w:eastAsia="zh-CN" w:bidi="ar-SA"/>
              </w:rPr>
            </w:pPr>
            <w:r>
              <w:rPr>
                <w:rFonts w:hint="eastAsia" w:ascii="仿宋_GB2312" w:hAnsi="仿宋_GB2312" w:eastAsia="仿宋_GB2312" w:cs="仿宋_GB2312"/>
                <w:b w:val="0"/>
                <w:bCs/>
                <w:kern w:val="0"/>
                <w:sz w:val="21"/>
                <w:szCs w:val="21"/>
                <w:highlight w:val="none"/>
                <w:lang w:val="en-US" w:eastAsia="zh-CN"/>
              </w:rPr>
              <w:t>150</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F03786">
            <w:pPr>
              <w:widowControl/>
              <w:spacing w:line="360" w:lineRule="auto"/>
              <w:ind w:firstLine="0" w:firstLineChars="0"/>
              <w:jc w:val="center"/>
              <w:rPr>
                <w:rFonts w:hint="eastAsia" w:ascii="仿宋_GB2312" w:hAnsi="仿宋_GB2312" w:eastAsia="仿宋_GB2312" w:cs="仿宋_GB2312"/>
                <w:b w:val="0"/>
                <w:bCs/>
                <w:snapToGrid w:val="0"/>
                <w:color w:val="000000"/>
                <w:kern w:val="0"/>
                <w:sz w:val="21"/>
                <w:szCs w:val="21"/>
                <w:highlight w:val="none"/>
                <w:lang w:val="en-US" w:eastAsia="zh-CN" w:bidi="ar-SA"/>
              </w:rPr>
            </w:pPr>
            <w:r>
              <w:rPr>
                <w:rFonts w:hint="eastAsia" w:ascii="仿宋_GB2312" w:hAnsi="仿宋_GB2312" w:eastAsia="仿宋_GB2312" w:cs="仿宋_GB2312"/>
                <w:b w:val="0"/>
                <w:bCs/>
                <w:kern w:val="0"/>
                <w:sz w:val="21"/>
                <w:szCs w:val="21"/>
                <w:highlight w:val="none"/>
                <w:lang w:val="en-US" w:eastAsia="zh-CN"/>
              </w:rPr>
              <w:t>2024-2026</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B30784">
            <w:pPr>
              <w:widowControl/>
              <w:spacing w:line="360" w:lineRule="auto"/>
              <w:ind w:firstLine="0" w:firstLineChars="0"/>
              <w:jc w:val="center"/>
              <w:rPr>
                <w:rFonts w:hint="eastAsia" w:ascii="仿宋_GB2312" w:hAnsi="仿宋_GB2312" w:eastAsia="仿宋_GB2312" w:cs="仿宋_GB2312"/>
                <w:b w:val="0"/>
                <w:bCs/>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五常市纪委</w:t>
            </w:r>
            <w:r>
              <w:rPr>
                <w:rFonts w:hint="eastAsia" w:ascii="仿宋_GB2312" w:hAnsi="仿宋_GB2312" w:eastAsia="仿宋_GB2312" w:cs="仿宋_GB2312"/>
                <w:kern w:val="0"/>
                <w:sz w:val="21"/>
                <w:szCs w:val="21"/>
                <w:highlight w:val="none"/>
              </w:rPr>
              <w:t>五常市综合服务中心</w:t>
            </w:r>
          </w:p>
        </w:tc>
      </w:tr>
      <w:tr w14:paraId="0166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718" w:type="dxa"/>
            <w:vMerge w:val="continue"/>
            <w:tcBorders>
              <w:left w:val="single" w:color="auto" w:sz="4" w:space="0"/>
              <w:right w:val="single" w:color="auto" w:sz="4" w:space="0"/>
            </w:tcBorders>
            <w:noWrap/>
            <w:vAlign w:val="center"/>
          </w:tcPr>
          <w:p w14:paraId="6CB77EC7">
            <w:pPr>
              <w:widowControl/>
              <w:spacing w:line="360" w:lineRule="auto"/>
              <w:ind w:firstLine="0" w:firstLineChars="0"/>
              <w:jc w:val="center"/>
              <w:rPr>
                <w:rFonts w:hint="eastAsia" w:ascii="仿宋_GB2312" w:hAnsi="仿宋_GB2312" w:eastAsia="仿宋_GB2312" w:cs="仿宋_GB2312"/>
                <w:sz w:val="21"/>
                <w:szCs w:val="21"/>
                <w:highlight w:val="none"/>
                <w:lang w:val="en-US" w:eastAsia="zh-CN"/>
              </w:rPr>
            </w:pPr>
          </w:p>
        </w:tc>
        <w:tc>
          <w:tcPr>
            <w:tcW w:w="711" w:type="dxa"/>
            <w:tcBorders>
              <w:top w:val="single" w:color="auto" w:sz="4" w:space="0"/>
              <w:left w:val="single" w:color="auto" w:sz="4" w:space="0"/>
              <w:bottom w:val="single" w:color="auto" w:sz="4" w:space="0"/>
              <w:right w:val="single" w:color="auto" w:sz="4" w:space="0"/>
            </w:tcBorders>
            <w:vAlign w:val="center"/>
          </w:tcPr>
          <w:p w14:paraId="4BDACC6C">
            <w:pPr>
              <w:pStyle w:val="30"/>
              <w:widowControl/>
              <w:numPr>
                <w:ilvl w:val="0"/>
                <w:numId w:val="14"/>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20D70C">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自然资源资产负债表编制项目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DD59A7">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编制</w:t>
            </w:r>
            <w:r>
              <w:rPr>
                <w:rFonts w:hint="eastAsia" w:ascii="仿宋_GB2312" w:hAnsi="仿宋_GB2312" w:eastAsia="仿宋_GB2312" w:cs="仿宋_GB2312"/>
                <w:kern w:val="0"/>
                <w:sz w:val="21"/>
                <w:szCs w:val="21"/>
                <w:highlight w:val="none"/>
                <w:lang w:val="en-US" w:eastAsia="zh-CN"/>
              </w:rPr>
              <w:t>五常市</w:t>
            </w:r>
            <w:r>
              <w:rPr>
                <w:rFonts w:hint="eastAsia" w:ascii="仿宋_GB2312" w:hAnsi="仿宋_GB2312" w:eastAsia="仿宋_GB2312" w:cs="仿宋_GB2312"/>
                <w:kern w:val="0"/>
                <w:sz w:val="21"/>
                <w:szCs w:val="21"/>
                <w:highlight w:val="none"/>
              </w:rPr>
              <w:t>自然资源资产负债表，重点核算</w:t>
            </w:r>
            <w:r>
              <w:rPr>
                <w:rFonts w:hint="eastAsia" w:ascii="仿宋_GB2312" w:hAnsi="仿宋_GB2312" w:eastAsia="仿宋_GB2312" w:cs="仿宋_GB2312"/>
                <w:kern w:val="0"/>
                <w:sz w:val="21"/>
                <w:szCs w:val="21"/>
                <w:highlight w:val="none"/>
                <w:lang w:val="en-US" w:eastAsia="zh-CN"/>
              </w:rPr>
              <w:t>市</w:t>
            </w:r>
            <w:r>
              <w:rPr>
                <w:rFonts w:hint="eastAsia" w:ascii="仿宋_GB2312" w:hAnsi="仿宋_GB2312" w:eastAsia="仿宋_GB2312" w:cs="仿宋_GB2312"/>
                <w:kern w:val="0"/>
                <w:sz w:val="21"/>
                <w:szCs w:val="21"/>
                <w:highlight w:val="none"/>
              </w:rPr>
              <w:t>域内土地资源、水资源、林木资源等，建立实物量资产账户并适时更新。</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6C2B7A">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150</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4B8BBC">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2024-2030</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24BBDA">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五常市自然资源和规划局</w:t>
            </w:r>
          </w:p>
        </w:tc>
      </w:tr>
      <w:tr w14:paraId="34D7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tcBorders>
              <w:top w:val="single" w:color="auto" w:sz="4" w:space="0"/>
              <w:left w:val="single" w:color="auto" w:sz="4" w:space="0"/>
              <w:right w:val="single" w:color="auto" w:sz="4" w:space="0"/>
            </w:tcBorders>
            <w:noWrap/>
            <w:vAlign w:val="center"/>
          </w:tcPr>
          <w:p w14:paraId="2228C555">
            <w:pPr>
              <w:widowControl/>
              <w:spacing w:line="360" w:lineRule="auto"/>
              <w:ind w:firstLine="0" w:firstLineChars="0"/>
              <w:jc w:val="center"/>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rPr>
              <w:t>生态安全</w:t>
            </w:r>
          </w:p>
        </w:tc>
        <w:tc>
          <w:tcPr>
            <w:tcW w:w="711" w:type="dxa"/>
            <w:tcBorders>
              <w:top w:val="single" w:color="auto" w:sz="4" w:space="0"/>
              <w:left w:val="single" w:color="auto" w:sz="4" w:space="0"/>
              <w:bottom w:val="single" w:color="auto" w:sz="4" w:space="0"/>
              <w:right w:val="single" w:color="auto" w:sz="4" w:space="0"/>
            </w:tcBorders>
            <w:vAlign w:val="center"/>
          </w:tcPr>
          <w:p w14:paraId="66285114">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89200C">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五常市污水处理厂扩建项目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DDDB72">
            <w:pPr>
              <w:widowControl/>
              <w:spacing w:line="360" w:lineRule="auto"/>
              <w:ind w:firstLine="0" w:firstLineChars="0"/>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占地1万平方米，建筑面积3800平方米。日处理污水2.5万吨、污泥碳化40吨、再生水利用1000吨，总投资16978万元。</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6BF52A">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16978</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B2C840">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2025-2027</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13AACC">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五常市污水处理厂</w:t>
            </w:r>
          </w:p>
        </w:tc>
      </w:tr>
      <w:tr w14:paraId="21CF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continue"/>
            <w:tcBorders>
              <w:left w:val="single" w:color="auto" w:sz="4" w:space="0"/>
              <w:right w:val="single" w:color="auto" w:sz="4" w:space="0"/>
            </w:tcBorders>
            <w:noWrap/>
            <w:vAlign w:val="center"/>
          </w:tcPr>
          <w:p w14:paraId="627D9543">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6292ED68">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78CB66">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山河屯林业局有限公司驻地方污水管网雨污分流建设项目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B1622C">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新建管网7581.08米</w:t>
            </w:r>
            <w:r>
              <w:rPr>
                <w:rFonts w:hint="eastAsia" w:ascii="仿宋_GB2312" w:hAnsi="仿宋_GB2312" w:eastAsia="仿宋_GB2312" w:cs="仿宋_GB2312"/>
                <w:kern w:val="0"/>
                <w:sz w:val="21"/>
                <w:szCs w:val="21"/>
                <w:highlight w:val="none"/>
                <w:lang w:eastAsia="zh-CN"/>
              </w:rPr>
              <w:t>，新建DN300-DN800污水管线3582.88米，新建DN550-DN850雨水管线3998.2米。</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6BE753">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2503</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03B1BB">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2023-2024</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7F33B2">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黑龙江省山河屯林业局有限公司</w:t>
            </w:r>
          </w:p>
        </w:tc>
      </w:tr>
      <w:tr w14:paraId="1EAC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18" w:type="dxa"/>
            <w:vMerge w:val="continue"/>
            <w:tcBorders>
              <w:left w:val="single" w:color="auto" w:sz="4" w:space="0"/>
              <w:right w:val="single" w:color="auto" w:sz="4" w:space="0"/>
            </w:tcBorders>
            <w:vAlign w:val="center"/>
          </w:tcPr>
          <w:p w14:paraId="132B5B0E">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7D7C1A42">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D260FA">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五常市五常镇内涝治理雨水管网工程及污水管网工程项目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4746E1">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新建雨水管线134.90Km，管径d600-3300mm。雨水口连接管26.42Km，管径d300mm，八字出水口17座，2处雨水调蓄设施，2处下凹式绿地。污水管线134.72Km，管径d300-1000mm，污水提升泵站一座。</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F4DE46">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11249</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6A6214">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2023-2024</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ABD541">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五常市排水建设中心</w:t>
            </w:r>
          </w:p>
        </w:tc>
      </w:tr>
      <w:tr w14:paraId="0403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tcBorders>
              <w:left w:val="single" w:color="auto" w:sz="4" w:space="0"/>
              <w:right w:val="single" w:color="auto" w:sz="4" w:space="0"/>
            </w:tcBorders>
            <w:vAlign w:val="center"/>
          </w:tcPr>
          <w:p w14:paraId="7A40664B">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290D8A2F">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D9E0CA">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五常市农村生活污水处理设施项目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7184FE">
            <w:pPr>
              <w:widowControl/>
              <w:spacing w:line="360" w:lineRule="auto"/>
              <w:ind w:firstLine="0" w:firstLineChars="0"/>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建设地点位于</w:t>
            </w:r>
            <w:r>
              <w:rPr>
                <w:rFonts w:hint="eastAsia" w:ascii="仿宋_GB2312" w:hAnsi="仿宋_GB2312" w:eastAsia="仿宋_GB2312" w:cs="仿宋_GB2312"/>
                <w:kern w:val="0"/>
                <w:sz w:val="21"/>
                <w:szCs w:val="21"/>
                <w:highlight w:val="none"/>
              </w:rPr>
              <w:t>五常市背荫河镇、八家子乡、兴盛乡、民意乡、向阳镇、安家镇、杜家镇、长山乡、营城子满族乡、红旗满族乡、兴隆乡、民乐朝鲜族乡、冲河镇、卫国乡、小山子镇、沙河子镇、龙凤山镇</w:t>
            </w:r>
            <w:r>
              <w:rPr>
                <w:rFonts w:hint="eastAsia" w:ascii="仿宋_GB2312" w:hAnsi="仿宋_GB2312" w:eastAsia="仿宋_GB2312" w:cs="仿宋_GB2312"/>
                <w:kern w:val="0"/>
                <w:sz w:val="21"/>
                <w:szCs w:val="21"/>
                <w:highlight w:val="none"/>
                <w:lang w:eastAsia="zh-CN"/>
              </w:rPr>
              <w:t>，</w:t>
            </w:r>
            <w:r>
              <w:rPr>
                <w:rFonts w:hint="eastAsia" w:ascii="仿宋_GB2312" w:hAnsi="仿宋_GB2312" w:eastAsia="仿宋_GB2312" w:cs="仿宋_GB2312"/>
                <w:kern w:val="0"/>
                <w:sz w:val="21"/>
                <w:szCs w:val="21"/>
                <w:highlight w:val="none"/>
                <w:lang w:val="en-US" w:eastAsia="zh-CN"/>
              </w:rPr>
              <w:t>主要建设污水管线、污水处理站等设施。</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3133B0">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49046.9</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8E2F71">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2024-2026</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DEC804">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五常市综合服务中心</w:t>
            </w:r>
          </w:p>
        </w:tc>
      </w:tr>
      <w:tr w14:paraId="078E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continue"/>
            <w:tcBorders>
              <w:left w:val="single" w:color="auto" w:sz="4" w:space="0"/>
              <w:right w:val="single" w:color="auto" w:sz="4" w:space="0"/>
            </w:tcBorders>
            <w:vAlign w:val="center"/>
          </w:tcPr>
          <w:p w14:paraId="186182FF">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1A701B4E">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7485B5">
            <w:pPr>
              <w:widowControl/>
              <w:spacing w:line="360" w:lineRule="auto"/>
              <w:ind w:firstLine="0" w:firstLineChars="0"/>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五常市磨盘山水源地生态环境保护修复治理项目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F8211A">
            <w:pPr>
              <w:widowControl/>
              <w:spacing w:line="360" w:lineRule="auto"/>
              <w:ind w:firstLine="0" w:firstLineChars="0"/>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建设内容包括：1、生活污水治理工程；2、生活垃圾清理工程；3、畜禽粪污资源化利用。新建粪污处理中心初步选址在五常市拉林满族镇民丰村。五常市大柜屯、大桥屯、新建屯、三人班屯、王家街屯、福太屯、四间房屯、亮甸子屯、大杨树屯新建粪污回收处理站点，并配套收集污水管网及收集池等设施。</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F7D227">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14101.8</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9A0AE3">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2024-2026</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5910E9">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五常市综合服务中心</w:t>
            </w:r>
          </w:p>
        </w:tc>
      </w:tr>
      <w:tr w14:paraId="265D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continue"/>
            <w:tcBorders>
              <w:left w:val="single" w:color="auto" w:sz="4" w:space="0"/>
              <w:right w:val="single" w:color="auto" w:sz="4" w:space="0"/>
            </w:tcBorders>
            <w:vAlign w:val="center"/>
          </w:tcPr>
          <w:p w14:paraId="753021FA">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6EE7A474">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15DB4">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三北防护林体系建设项目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C87F3E">
            <w:pPr>
              <w:widowControl/>
              <w:spacing w:line="360" w:lineRule="auto"/>
              <w:ind w:firstLine="0" w:firstLineChars="0"/>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三北退化林修复15万亩，封山育林10万亩。</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D707D7">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10750</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AA5584">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2025-2029</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738A18">
            <w:pPr>
              <w:widowControl/>
              <w:spacing w:line="360" w:lineRule="auto"/>
              <w:ind w:firstLine="0" w:firstLineChars="0"/>
              <w:jc w:val="center"/>
              <w:rPr>
                <w:rFonts w:hint="eastAsia" w:ascii="仿宋_GB2312" w:hAnsi="仿宋_GB2312" w:eastAsia="仿宋_GB2312" w:cs="仿宋_GB2312"/>
                <w:bCs/>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五常市林草局</w:t>
            </w:r>
          </w:p>
        </w:tc>
      </w:tr>
      <w:tr w14:paraId="40A1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continue"/>
            <w:tcBorders>
              <w:left w:val="single" w:color="auto" w:sz="4" w:space="0"/>
              <w:right w:val="single" w:color="auto" w:sz="4" w:space="0"/>
            </w:tcBorders>
            <w:vAlign w:val="center"/>
          </w:tcPr>
          <w:p w14:paraId="32B18761">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404D6CC7">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8FD4DF">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五常市2024年防火能力和防火基础设施建设项目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CBE8D5">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改造防火道路358.21公里；新建瞭望塔台2座，新建瞭望塔房2个，新建瞭望塔路6公里，维修瞭望塔台5座，维修瞭望塔房11个，维修瞭望塔路9公里；采购防火调度中心建设预警监测和通讯指挥系统170套；采购消防水车12台，运兵车6台，机具运输车12台，水炮车2台，全地形消防车2台，全地形运兵车2台，推土机2台，挖掘机2台，隔离带开设机2台，防护套装300套，巡护套装500套，帐篷睡袋150套，高压细水雾灭火机60台，往复式灭火水枪60台，移动式蓄水池4套，风力灭火机130台，油锯60台，割灌机120台，隔离带切割机5台，防火巡护无人机13台，小型火场侦查无人机13台，系留式多旋翼无人机1台，发电机13台。</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0CE0E">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15767</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7FCF0A">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2025-2027</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7F5F84">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五常市林草局</w:t>
            </w:r>
          </w:p>
        </w:tc>
      </w:tr>
      <w:tr w14:paraId="3919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continue"/>
            <w:tcBorders>
              <w:left w:val="single" w:color="auto" w:sz="4" w:space="0"/>
              <w:right w:val="single" w:color="auto" w:sz="4" w:space="0"/>
            </w:tcBorders>
            <w:vAlign w:val="center"/>
          </w:tcPr>
          <w:p w14:paraId="0BA53170">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5551EE78">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80B52B">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五常市龙凤国家森林公园生态系统保护、鸟类及野生动物保护</w:t>
            </w:r>
            <w:r>
              <w:rPr>
                <w:rFonts w:hint="eastAsia" w:ascii="仿宋_GB2312" w:hAnsi="仿宋_GB2312" w:eastAsia="仿宋_GB2312" w:cs="仿宋_GB2312"/>
                <w:kern w:val="0"/>
                <w:sz w:val="21"/>
                <w:szCs w:val="21"/>
                <w:highlight w:val="none"/>
                <w:lang w:val="en-US" w:eastAsia="zh-CN"/>
              </w:rPr>
              <w:t>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9C2C6E">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1.湿地生态系统保护。植物植被恢复，退耕还湿、退耕还草、退耕还林2000公顷，鸟类栖息地恢复300公顷。2.鸟类以及野生动物保护。东北亚水禽迁徙、停歇、繁殖地，建管护站5处，500平方米，救护站2处，400平方米，监测塔2处、监测中心一处，1000平方米，巡护舰5艘。3.鱼类保护。濒危冷水鱼类，哲罗、细鳞鱼、黑龙江茴鱼、江鳕鱼、黑斑狗鱼、黄颡鱼等北方山麓鱼类、北方平原鱼类和北极淡水鱼资源、繁殖地。4.哈尔滨市以及五常市地区重要的水源涵养地和水土保护地，外迁人员500人，耕地补偿面积1200公顷，设置防护围栏20公里，购置清淤船及设备一套</w:t>
            </w:r>
            <w:r>
              <w:rPr>
                <w:rFonts w:hint="eastAsia" w:ascii="仿宋_GB2312" w:hAnsi="仿宋_GB2312" w:eastAsia="仿宋_GB2312" w:cs="仿宋_GB2312"/>
                <w:kern w:val="0"/>
                <w:sz w:val="21"/>
                <w:szCs w:val="21"/>
                <w:highlight w:val="none"/>
                <w:lang w:eastAsia="zh-CN"/>
              </w:rPr>
              <w:t>。</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355CC1">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18900</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2722AE">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2026-2029</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912DCE">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五常市林草局</w:t>
            </w:r>
          </w:p>
        </w:tc>
      </w:tr>
      <w:tr w14:paraId="40A7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continue"/>
            <w:tcBorders>
              <w:left w:val="single" w:color="auto" w:sz="4" w:space="0"/>
              <w:right w:val="single" w:color="auto" w:sz="4" w:space="0"/>
            </w:tcBorders>
            <w:vAlign w:val="center"/>
          </w:tcPr>
          <w:p w14:paraId="5D7C05FF">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435B2C7B">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52E512">
            <w:pPr>
              <w:widowControl/>
              <w:spacing w:line="360" w:lineRule="auto"/>
              <w:ind w:firstLine="0" w:firstLineChars="0"/>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东小河子、古城河治理</w:t>
            </w:r>
            <w:r>
              <w:rPr>
                <w:rFonts w:hint="eastAsia" w:ascii="仿宋_GB2312" w:hAnsi="仿宋_GB2312" w:eastAsia="仿宋_GB2312" w:cs="仿宋_GB2312"/>
                <w:kern w:val="0"/>
                <w:sz w:val="21"/>
                <w:szCs w:val="21"/>
                <w:highlight w:val="none"/>
                <w:lang w:val="en-US" w:eastAsia="zh-CN"/>
              </w:rPr>
              <w:t>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5EA6C1">
            <w:pPr>
              <w:widowControl/>
              <w:spacing w:line="360" w:lineRule="auto"/>
              <w:ind w:firstLine="0" w:firstLineChars="0"/>
              <w:jc w:val="both"/>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实施山水林田湖草沙一体化保护和修复工程（新建）</w:t>
            </w:r>
            <w:r>
              <w:rPr>
                <w:rFonts w:hint="eastAsia" w:ascii="仿宋_GB2312" w:hAnsi="仿宋_GB2312" w:eastAsia="仿宋_GB2312" w:cs="仿宋_GB2312"/>
                <w:kern w:val="0"/>
                <w:sz w:val="21"/>
                <w:szCs w:val="21"/>
                <w:highlight w:val="none"/>
                <w:lang w:eastAsia="zh-CN"/>
              </w:rPr>
              <w:t>。</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2A5D43">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15000</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FD513E">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2024-2025</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1FBA1D">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五常市兴隆乡</w:t>
            </w:r>
          </w:p>
        </w:tc>
      </w:tr>
      <w:tr w14:paraId="01C6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restart"/>
            <w:tcBorders>
              <w:left w:val="single" w:color="auto" w:sz="4" w:space="0"/>
              <w:right w:val="single" w:color="auto" w:sz="4" w:space="0"/>
            </w:tcBorders>
            <w:vAlign w:val="center"/>
          </w:tcPr>
          <w:p w14:paraId="5534AECD">
            <w:pPr>
              <w:widowControl/>
              <w:spacing w:line="360" w:lineRule="auto"/>
              <w:ind w:firstLine="0" w:firstLineChars="0"/>
              <w:jc w:val="center"/>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rPr>
              <w:t>生态经济</w:t>
            </w:r>
          </w:p>
        </w:tc>
        <w:tc>
          <w:tcPr>
            <w:tcW w:w="711" w:type="dxa"/>
            <w:tcBorders>
              <w:top w:val="single" w:color="auto" w:sz="4" w:space="0"/>
              <w:left w:val="single" w:color="auto" w:sz="4" w:space="0"/>
              <w:bottom w:val="single" w:color="auto" w:sz="4" w:space="0"/>
              <w:right w:val="single" w:color="auto" w:sz="4" w:space="0"/>
            </w:tcBorders>
            <w:vAlign w:val="center"/>
          </w:tcPr>
          <w:p w14:paraId="310C2A1B">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noWrap/>
            <w:vAlign w:val="center"/>
          </w:tcPr>
          <w:p w14:paraId="4A76553E">
            <w:pPr>
              <w:widowControl/>
              <w:spacing w:line="360" w:lineRule="auto"/>
              <w:ind w:firstLine="0" w:firstLineChars="0"/>
              <w:jc w:val="both"/>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国家“城市矿产”示范基地升级改造项目</w:t>
            </w:r>
          </w:p>
        </w:tc>
        <w:tc>
          <w:tcPr>
            <w:tcW w:w="6064" w:type="dxa"/>
            <w:tcBorders>
              <w:top w:val="single" w:color="auto" w:sz="4" w:space="0"/>
              <w:left w:val="single" w:color="auto" w:sz="4" w:space="0"/>
              <w:bottom w:val="single" w:color="auto" w:sz="4" w:space="0"/>
              <w:right w:val="single" w:color="auto" w:sz="4" w:space="0"/>
            </w:tcBorders>
            <w:noWrap/>
            <w:vAlign w:val="center"/>
          </w:tcPr>
          <w:p w14:paraId="36ED2515">
            <w:pPr>
              <w:widowControl/>
              <w:spacing w:line="360" w:lineRule="auto"/>
              <w:ind w:firstLine="0" w:firstLineChars="0"/>
              <w:jc w:val="both"/>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总占地面积24.8万平方米。</w:t>
            </w:r>
            <w:r>
              <w:rPr>
                <w:rFonts w:hint="eastAsia" w:ascii="仿宋_GB2312" w:hAnsi="仿宋_GB2312" w:eastAsia="仿宋_GB2312" w:cs="仿宋_GB2312"/>
                <w:kern w:val="0"/>
                <w:sz w:val="21"/>
                <w:szCs w:val="21"/>
                <w:highlight w:val="none"/>
                <w:lang w:val="en-US" w:eastAsia="zh-CN"/>
              </w:rPr>
              <w:t>建设内容包括：</w:t>
            </w:r>
            <w:r>
              <w:rPr>
                <w:rFonts w:hint="eastAsia" w:ascii="仿宋_GB2312" w:hAnsi="仿宋_GB2312" w:eastAsia="仿宋_GB2312" w:cs="仿宋_GB2312"/>
                <w:kern w:val="0"/>
                <w:sz w:val="21"/>
                <w:szCs w:val="21"/>
                <w:highlight w:val="none"/>
              </w:rPr>
              <w:t>黑龙江省再生资源数字化信息平台、废塑料新材料循环利用、塑料高分子新材料项目、锂电池回收处理中心、废旧纺织品综合利用处理中心、废玻璃绿色分拣加工中心、铝锭加工项目、有色金属回收加工项目等，年处理能力</w:t>
            </w:r>
            <w:r>
              <w:rPr>
                <w:rFonts w:hint="eastAsia" w:ascii="仿宋_GB2312" w:hAnsi="仿宋_GB2312" w:eastAsia="仿宋_GB2312" w:cs="仿宋_GB2312"/>
                <w:kern w:val="0"/>
                <w:sz w:val="21"/>
                <w:szCs w:val="21"/>
                <w:highlight w:val="none"/>
                <w:lang w:eastAsia="zh-CN"/>
              </w:rPr>
              <w:t>达</w:t>
            </w:r>
            <w:r>
              <w:rPr>
                <w:rFonts w:hint="eastAsia" w:ascii="仿宋_GB2312" w:hAnsi="仿宋_GB2312" w:eastAsia="仿宋_GB2312" w:cs="仿宋_GB2312"/>
                <w:kern w:val="0"/>
                <w:sz w:val="21"/>
                <w:szCs w:val="21"/>
                <w:highlight w:val="none"/>
              </w:rPr>
              <w:t>到100万吨。</w:t>
            </w:r>
          </w:p>
        </w:tc>
        <w:tc>
          <w:tcPr>
            <w:tcW w:w="1255" w:type="dxa"/>
            <w:tcBorders>
              <w:top w:val="single" w:color="auto" w:sz="4" w:space="0"/>
              <w:left w:val="single" w:color="auto" w:sz="4" w:space="0"/>
              <w:bottom w:val="single" w:color="auto" w:sz="4" w:space="0"/>
              <w:right w:val="single" w:color="auto" w:sz="4" w:space="0"/>
            </w:tcBorders>
            <w:noWrap/>
            <w:vAlign w:val="center"/>
          </w:tcPr>
          <w:p w14:paraId="169F283E">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50000</w:t>
            </w:r>
          </w:p>
        </w:tc>
        <w:tc>
          <w:tcPr>
            <w:tcW w:w="1319" w:type="dxa"/>
            <w:tcBorders>
              <w:top w:val="single" w:color="auto" w:sz="4" w:space="0"/>
              <w:left w:val="single" w:color="auto" w:sz="4" w:space="0"/>
              <w:bottom w:val="single" w:color="auto" w:sz="4" w:space="0"/>
              <w:right w:val="single" w:color="auto" w:sz="4" w:space="0"/>
            </w:tcBorders>
            <w:noWrap/>
            <w:vAlign w:val="center"/>
          </w:tcPr>
          <w:p w14:paraId="5F5DBA4F">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2024-2030</w:t>
            </w:r>
          </w:p>
        </w:tc>
        <w:tc>
          <w:tcPr>
            <w:tcW w:w="1511" w:type="dxa"/>
            <w:tcBorders>
              <w:top w:val="single" w:color="auto" w:sz="4" w:space="0"/>
              <w:left w:val="single" w:color="auto" w:sz="4" w:space="0"/>
              <w:bottom w:val="single" w:color="auto" w:sz="4" w:space="0"/>
              <w:right w:val="single" w:color="auto" w:sz="4" w:space="0"/>
            </w:tcBorders>
            <w:noWrap/>
            <w:vAlign w:val="center"/>
          </w:tcPr>
          <w:p w14:paraId="2F77BC4A">
            <w:pPr>
              <w:widowControl/>
              <w:spacing w:line="360" w:lineRule="auto"/>
              <w:ind w:firstLine="0" w:firstLineChars="0"/>
              <w:jc w:val="both"/>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哈尔滨亚泰矿产再生资源有限公司</w:t>
            </w:r>
          </w:p>
        </w:tc>
      </w:tr>
      <w:tr w14:paraId="1FEA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continue"/>
            <w:tcBorders>
              <w:left w:val="single" w:color="auto" w:sz="4" w:space="0"/>
              <w:right w:val="single" w:color="auto" w:sz="4" w:space="0"/>
            </w:tcBorders>
            <w:vAlign w:val="center"/>
          </w:tcPr>
          <w:p w14:paraId="1ED7938A">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57834043">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noWrap/>
            <w:vAlign w:val="center"/>
          </w:tcPr>
          <w:p w14:paraId="1991C801">
            <w:pPr>
              <w:widowControl/>
              <w:spacing w:line="360" w:lineRule="auto"/>
              <w:ind w:firstLine="0" w:firstLineChars="0"/>
              <w:jc w:val="both"/>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五常市畜禽粪污资源化利用整县推进项目</w:t>
            </w:r>
          </w:p>
        </w:tc>
        <w:tc>
          <w:tcPr>
            <w:tcW w:w="6064" w:type="dxa"/>
            <w:tcBorders>
              <w:top w:val="single" w:color="auto" w:sz="4" w:space="0"/>
              <w:left w:val="single" w:color="auto" w:sz="4" w:space="0"/>
              <w:bottom w:val="single" w:color="auto" w:sz="4" w:space="0"/>
              <w:right w:val="single" w:color="auto" w:sz="4" w:space="0"/>
            </w:tcBorders>
            <w:noWrap/>
            <w:vAlign w:val="center"/>
          </w:tcPr>
          <w:p w14:paraId="1E546708">
            <w:pPr>
              <w:widowControl/>
              <w:spacing w:line="360" w:lineRule="auto"/>
              <w:ind w:firstLine="0" w:firstLineChars="0"/>
              <w:jc w:val="both"/>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主要建设</w:t>
            </w:r>
            <w:r>
              <w:rPr>
                <w:rFonts w:hint="eastAsia" w:ascii="仿宋_GB2312" w:hAnsi="仿宋_GB2312" w:eastAsia="仿宋_GB2312" w:cs="仿宋_GB2312"/>
                <w:kern w:val="0"/>
                <w:sz w:val="21"/>
                <w:szCs w:val="21"/>
                <w:highlight w:val="none"/>
              </w:rPr>
              <w:t>粪污处理收集设施</w:t>
            </w:r>
            <w:r>
              <w:rPr>
                <w:rFonts w:hint="eastAsia" w:ascii="仿宋_GB2312" w:hAnsi="仿宋_GB2312" w:eastAsia="仿宋_GB2312" w:cs="仿宋_GB2312"/>
                <w:kern w:val="0"/>
                <w:sz w:val="21"/>
                <w:szCs w:val="21"/>
                <w:highlight w:val="none"/>
                <w:lang w:eastAsia="zh-CN"/>
              </w:rPr>
              <w:t>，年处理粪污10万吨，建设1个有机肥厂，5个市级处理中心，70个村级收集点，50个养殖场户粪污池。</w:t>
            </w:r>
          </w:p>
        </w:tc>
        <w:tc>
          <w:tcPr>
            <w:tcW w:w="1255" w:type="dxa"/>
            <w:tcBorders>
              <w:top w:val="single" w:color="auto" w:sz="4" w:space="0"/>
              <w:left w:val="single" w:color="auto" w:sz="4" w:space="0"/>
              <w:bottom w:val="single" w:color="auto" w:sz="4" w:space="0"/>
              <w:right w:val="single" w:color="auto" w:sz="4" w:space="0"/>
            </w:tcBorders>
            <w:noWrap/>
            <w:vAlign w:val="center"/>
          </w:tcPr>
          <w:p w14:paraId="602FF1FF">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7500</w:t>
            </w:r>
          </w:p>
        </w:tc>
        <w:tc>
          <w:tcPr>
            <w:tcW w:w="1319" w:type="dxa"/>
            <w:tcBorders>
              <w:top w:val="single" w:color="auto" w:sz="4" w:space="0"/>
              <w:left w:val="single" w:color="auto" w:sz="4" w:space="0"/>
              <w:bottom w:val="single" w:color="auto" w:sz="4" w:space="0"/>
              <w:right w:val="single" w:color="auto" w:sz="4" w:space="0"/>
            </w:tcBorders>
            <w:noWrap/>
            <w:vAlign w:val="center"/>
          </w:tcPr>
          <w:p w14:paraId="22B72F1E">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2026-2027</w:t>
            </w:r>
          </w:p>
        </w:tc>
        <w:tc>
          <w:tcPr>
            <w:tcW w:w="1511" w:type="dxa"/>
            <w:tcBorders>
              <w:top w:val="single" w:color="auto" w:sz="4" w:space="0"/>
              <w:left w:val="single" w:color="auto" w:sz="4" w:space="0"/>
              <w:bottom w:val="single" w:color="auto" w:sz="4" w:space="0"/>
              <w:right w:val="single" w:color="auto" w:sz="4" w:space="0"/>
            </w:tcBorders>
            <w:noWrap/>
            <w:vAlign w:val="center"/>
          </w:tcPr>
          <w:p w14:paraId="5393A984">
            <w:pPr>
              <w:widowControl/>
              <w:spacing w:line="360" w:lineRule="auto"/>
              <w:ind w:firstLine="0" w:firstLineChars="0"/>
              <w:jc w:val="both"/>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黑龙江省壮富公司</w:t>
            </w:r>
          </w:p>
        </w:tc>
      </w:tr>
      <w:tr w14:paraId="683D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continue"/>
            <w:tcBorders>
              <w:left w:val="single" w:color="auto" w:sz="4" w:space="0"/>
              <w:right w:val="single" w:color="auto" w:sz="4" w:space="0"/>
            </w:tcBorders>
            <w:vAlign w:val="center"/>
          </w:tcPr>
          <w:p w14:paraId="0C432ED0">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3935EDD8">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noWrap/>
            <w:vAlign w:val="center"/>
          </w:tcPr>
          <w:p w14:paraId="25C57DFD">
            <w:pPr>
              <w:widowControl/>
              <w:spacing w:line="360" w:lineRule="auto"/>
              <w:ind w:firstLine="0" w:firstLineChars="0"/>
              <w:jc w:val="both"/>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五常市龙凤山水库繁育中心种业创新发展项目</w:t>
            </w:r>
          </w:p>
        </w:tc>
        <w:tc>
          <w:tcPr>
            <w:tcW w:w="6064" w:type="dxa"/>
            <w:tcBorders>
              <w:top w:val="single" w:color="auto" w:sz="4" w:space="0"/>
              <w:left w:val="single" w:color="auto" w:sz="4" w:space="0"/>
              <w:bottom w:val="single" w:color="auto" w:sz="4" w:space="0"/>
              <w:right w:val="single" w:color="auto" w:sz="4" w:space="0"/>
            </w:tcBorders>
            <w:noWrap/>
            <w:vAlign w:val="center"/>
          </w:tcPr>
          <w:p w14:paraId="33F7A13D">
            <w:pPr>
              <w:widowControl/>
              <w:spacing w:line="360" w:lineRule="auto"/>
              <w:ind w:firstLine="0" w:firstLineChars="0"/>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val="en-US" w:eastAsia="zh-CN"/>
              </w:rPr>
              <w:t>规模用地面积</w:t>
            </w:r>
            <w:r>
              <w:rPr>
                <w:rFonts w:hint="eastAsia" w:ascii="仿宋_GB2312" w:hAnsi="仿宋_GB2312" w:eastAsia="仿宋_GB2312" w:cs="仿宋_GB2312"/>
                <w:kern w:val="0"/>
                <w:sz w:val="21"/>
                <w:szCs w:val="21"/>
                <w:highlight w:val="none"/>
              </w:rPr>
              <w:t>45亩。</w:t>
            </w:r>
            <w:r>
              <w:rPr>
                <w:rFonts w:hint="eastAsia" w:ascii="仿宋_GB2312" w:hAnsi="仿宋_GB2312" w:eastAsia="仿宋_GB2312" w:cs="仿宋_GB2312"/>
                <w:kern w:val="0"/>
                <w:sz w:val="21"/>
                <w:szCs w:val="21"/>
                <w:highlight w:val="none"/>
                <w:lang w:val="en-US" w:eastAsia="zh-CN"/>
              </w:rPr>
              <w:t>建设内容：</w:t>
            </w:r>
            <w:r>
              <w:rPr>
                <w:rFonts w:hint="eastAsia" w:ascii="仿宋_GB2312" w:hAnsi="仿宋_GB2312" w:eastAsia="仿宋_GB2312" w:cs="仿宋_GB2312"/>
                <w:kern w:val="0"/>
                <w:sz w:val="21"/>
                <w:szCs w:val="21"/>
                <w:highlight w:val="none"/>
              </w:rPr>
              <w:t>冷水性鱼类流水养殖池建设、生产车间建设、孵化车间建设，亲鱼存储池改造、孵化用水配水池改造、生活区改造。</w:t>
            </w:r>
          </w:p>
        </w:tc>
        <w:tc>
          <w:tcPr>
            <w:tcW w:w="1255" w:type="dxa"/>
            <w:tcBorders>
              <w:top w:val="single" w:color="auto" w:sz="4" w:space="0"/>
              <w:left w:val="single" w:color="auto" w:sz="4" w:space="0"/>
              <w:bottom w:val="single" w:color="auto" w:sz="4" w:space="0"/>
              <w:right w:val="single" w:color="auto" w:sz="4" w:space="0"/>
            </w:tcBorders>
            <w:noWrap/>
            <w:vAlign w:val="center"/>
          </w:tcPr>
          <w:p w14:paraId="541AA835">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2000</w:t>
            </w:r>
          </w:p>
        </w:tc>
        <w:tc>
          <w:tcPr>
            <w:tcW w:w="1319" w:type="dxa"/>
            <w:tcBorders>
              <w:top w:val="single" w:color="auto" w:sz="4" w:space="0"/>
              <w:left w:val="single" w:color="auto" w:sz="4" w:space="0"/>
              <w:bottom w:val="single" w:color="auto" w:sz="4" w:space="0"/>
              <w:right w:val="single" w:color="auto" w:sz="4" w:space="0"/>
            </w:tcBorders>
            <w:noWrap/>
            <w:vAlign w:val="center"/>
          </w:tcPr>
          <w:p w14:paraId="1E8D9451">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2026-2030</w:t>
            </w:r>
          </w:p>
        </w:tc>
        <w:tc>
          <w:tcPr>
            <w:tcW w:w="1511" w:type="dxa"/>
            <w:tcBorders>
              <w:top w:val="single" w:color="auto" w:sz="4" w:space="0"/>
              <w:left w:val="single" w:color="auto" w:sz="4" w:space="0"/>
              <w:bottom w:val="single" w:color="auto" w:sz="4" w:space="0"/>
              <w:right w:val="single" w:color="auto" w:sz="4" w:space="0"/>
            </w:tcBorders>
            <w:noWrap/>
            <w:vAlign w:val="center"/>
          </w:tcPr>
          <w:p w14:paraId="6A6F0484">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龙凤山水库渔场</w:t>
            </w:r>
          </w:p>
        </w:tc>
      </w:tr>
      <w:tr w14:paraId="3F95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continue"/>
            <w:tcBorders>
              <w:left w:val="single" w:color="auto" w:sz="4" w:space="0"/>
              <w:right w:val="single" w:color="auto" w:sz="4" w:space="0"/>
            </w:tcBorders>
            <w:vAlign w:val="center"/>
          </w:tcPr>
          <w:p w14:paraId="241D2BC8">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7A616A67">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2B7071">
            <w:pPr>
              <w:widowControl/>
              <w:spacing w:line="360" w:lineRule="auto"/>
              <w:ind w:firstLine="0" w:firstLineChars="0"/>
              <w:jc w:val="both"/>
              <w:textAlignment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五常市龙凤国家森林公园旅游建设项目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887A17">
            <w:pPr>
              <w:widowControl/>
              <w:spacing w:line="360" w:lineRule="auto"/>
              <w:ind w:firstLine="0" w:firstLineChars="0"/>
              <w:jc w:val="both"/>
              <w:textAlignment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建设水上运动场</w:t>
            </w:r>
            <w:r>
              <w:rPr>
                <w:rFonts w:hint="eastAsia" w:ascii="仿宋_GB2312" w:hAnsi="仿宋_GB2312" w:eastAsia="仿宋_GB2312" w:cs="仿宋_GB2312"/>
                <w:kern w:val="0"/>
                <w:sz w:val="21"/>
                <w:szCs w:val="21"/>
                <w:highlight w:val="none"/>
                <w:lang w:eastAsia="zh-CN"/>
              </w:rPr>
              <w:t>，建设关东文化博物馆一座，建设关东文化标志性建筑10座，新建垃圾处理厂2处，分别位于龙凤湖上游（冲河镇）和龙凤湖下游（龙凤山镇），新建污水处理厂1处占地面积2万平方米，日处理污水20000吨。</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6D4D5F">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366000</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08E13">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2026-2029</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6748EF">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en-US" w:bidi="ar-SA"/>
              </w:rPr>
            </w:pPr>
            <w:r>
              <w:rPr>
                <w:rFonts w:hint="eastAsia" w:ascii="仿宋_GB2312" w:hAnsi="仿宋_GB2312" w:eastAsia="仿宋_GB2312" w:cs="仿宋_GB2312"/>
                <w:kern w:val="0"/>
                <w:sz w:val="21"/>
                <w:szCs w:val="21"/>
                <w:highlight w:val="none"/>
              </w:rPr>
              <w:t>五常市林草局</w:t>
            </w:r>
          </w:p>
        </w:tc>
      </w:tr>
      <w:tr w14:paraId="0D24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18" w:type="dxa"/>
            <w:vMerge w:val="continue"/>
            <w:tcBorders>
              <w:left w:val="single" w:color="auto" w:sz="4" w:space="0"/>
              <w:right w:val="single" w:color="auto" w:sz="4" w:space="0"/>
            </w:tcBorders>
            <w:vAlign w:val="center"/>
          </w:tcPr>
          <w:p w14:paraId="7C8FE7B1">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3B02FA6E">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A54BB5">
            <w:pPr>
              <w:widowControl/>
              <w:spacing w:line="360" w:lineRule="auto"/>
              <w:ind w:firstLine="0" w:firstLineChars="0"/>
              <w:jc w:val="both"/>
              <w:textAlignment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杜家镇半截河子村稻香小镇建设项目</w:t>
            </w:r>
          </w:p>
        </w:tc>
        <w:tc>
          <w:tcPr>
            <w:tcW w:w="60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A10D8E">
            <w:pPr>
              <w:widowControl/>
              <w:spacing w:line="360" w:lineRule="auto"/>
              <w:ind w:firstLine="0" w:firstLineChars="0"/>
              <w:jc w:val="both"/>
              <w:textAlignment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建设内容包括稻米文化馆、文化园、美食街、度假村、自行车环道及田间火车。</w:t>
            </w:r>
          </w:p>
        </w:tc>
        <w:tc>
          <w:tcPr>
            <w:tcW w:w="12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6940C4">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18500</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41D1BB">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lang w:val="en-US" w:eastAsia="zh-CN"/>
              </w:rPr>
              <w:t>2025-2027</w:t>
            </w:r>
          </w:p>
        </w:tc>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6492A2">
            <w:pPr>
              <w:widowControl/>
              <w:spacing w:line="360" w:lineRule="auto"/>
              <w:ind w:firstLine="0" w:firstLineChars="0"/>
              <w:jc w:val="center"/>
              <w:rPr>
                <w:rFonts w:hint="eastAsia" w:ascii="仿宋_GB2312" w:hAnsi="仿宋_GB2312" w:eastAsia="仿宋_GB2312" w:cs="仿宋_GB2312"/>
                <w:snapToGrid w:val="0"/>
                <w:color w:val="000000"/>
                <w:kern w:val="0"/>
                <w:sz w:val="21"/>
                <w:szCs w:val="21"/>
                <w:highlight w:val="none"/>
                <w:lang w:val="en-US" w:eastAsia="zh-CN" w:bidi="ar-SA"/>
              </w:rPr>
            </w:pPr>
            <w:r>
              <w:rPr>
                <w:rFonts w:hint="eastAsia" w:ascii="仿宋_GB2312" w:hAnsi="仿宋_GB2312" w:eastAsia="仿宋_GB2312" w:cs="仿宋_GB2312"/>
                <w:kern w:val="0"/>
                <w:sz w:val="21"/>
                <w:szCs w:val="21"/>
                <w:highlight w:val="none"/>
              </w:rPr>
              <w:t>杜家镇</w:t>
            </w:r>
            <w:r>
              <w:rPr>
                <w:rFonts w:hint="eastAsia" w:ascii="仿宋_GB2312" w:hAnsi="仿宋_GB2312" w:eastAsia="仿宋_GB2312" w:cs="仿宋_GB2312"/>
                <w:kern w:val="0"/>
                <w:sz w:val="21"/>
                <w:szCs w:val="21"/>
                <w:highlight w:val="none"/>
                <w:lang w:val="en-US" w:eastAsia="zh-CN"/>
              </w:rPr>
              <w:t>人民政府</w:t>
            </w:r>
          </w:p>
        </w:tc>
      </w:tr>
      <w:tr w14:paraId="3DBC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tcBorders>
              <w:top w:val="single" w:color="auto" w:sz="4" w:space="0"/>
              <w:left w:val="single" w:color="auto" w:sz="4" w:space="0"/>
              <w:right w:val="single" w:color="auto" w:sz="4" w:space="0"/>
            </w:tcBorders>
            <w:noWrap/>
            <w:vAlign w:val="center"/>
          </w:tcPr>
          <w:p w14:paraId="79CEABB2">
            <w:pPr>
              <w:widowControl/>
              <w:spacing w:line="360" w:lineRule="auto"/>
              <w:ind w:firstLine="0" w:firstLineChars="0"/>
              <w:jc w:val="center"/>
              <w:rPr>
                <w:rFonts w:hint="eastAsia" w:ascii="仿宋_GB2312" w:hAnsi="仿宋_GB2312" w:eastAsia="仿宋_GB2312" w:cs="仿宋_GB2312"/>
                <w:b/>
                <w:kern w:val="0"/>
                <w:sz w:val="21"/>
                <w:szCs w:val="21"/>
                <w:highlight w:val="none"/>
                <w:lang w:eastAsia="zh-CN"/>
              </w:rPr>
            </w:pPr>
            <w:r>
              <w:rPr>
                <w:rFonts w:hint="eastAsia" w:ascii="仿宋_GB2312" w:hAnsi="仿宋_GB2312" w:eastAsia="仿宋_GB2312" w:cs="仿宋_GB2312"/>
                <w:b/>
                <w:kern w:val="0"/>
                <w:sz w:val="21"/>
                <w:szCs w:val="21"/>
                <w:highlight w:val="none"/>
              </w:rPr>
              <w:t>生态</w:t>
            </w:r>
            <w:r>
              <w:rPr>
                <w:rFonts w:hint="eastAsia" w:ascii="仿宋_GB2312" w:hAnsi="仿宋_GB2312" w:eastAsia="仿宋_GB2312" w:cs="仿宋_GB2312"/>
                <w:b/>
                <w:kern w:val="0"/>
                <w:sz w:val="21"/>
                <w:szCs w:val="21"/>
                <w:highlight w:val="none"/>
                <w:lang w:val="en-US" w:eastAsia="zh-CN"/>
              </w:rPr>
              <w:t>文化</w:t>
            </w:r>
          </w:p>
        </w:tc>
        <w:tc>
          <w:tcPr>
            <w:tcW w:w="711" w:type="dxa"/>
            <w:tcBorders>
              <w:top w:val="single" w:color="auto" w:sz="4" w:space="0"/>
              <w:left w:val="single" w:color="auto" w:sz="4" w:space="0"/>
              <w:bottom w:val="single" w:color="auto" w:sz="4" w:space="0"/>
              <w:right w:val="single" w:color="auto" w:sz="4" w:space="0"/>
            </w:tcBorders>
            <w:vAlign w:val="center"/>
          </w:tcPr>
          <w:p w14:paraId="739C9C7A">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noWrap/>
            <w:vAlign w:val="center"/>
          </w:tcPr>
          <w:p w14:paraId="76999251">
            <w:pPr>
              <w:widowControl/>
              <w:spacing w:line="360" w:lineRule="auto"/>
              <w:ind w:firstLine="0" w:firstLineChars="0"/>
              <w:jc w:val="both"/>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公众对生态文明建设的满意度和参与度调查项目</w:t>
            </w:r>
          </w:p>
        </w:tc>
        <w:tc>
          <w:tcPr>
            <w:tcW w:w="6064" w:type="dxa"/>
            <w:tcBorders>
              <w:top w:val="single" w:color="auto" w:sz="4" w:space="0"/>
              <w:left w:val="single" w:color="auto" w:sz="4" w:space="0"/>
              <w:bottom w:val="single" w:color="auto" w:sz="4" w:space="0"/>
              <w:right w:val="single" w:color="auto" w:sz="4" w:space="0"/>
            </w:tcBorders>
            <w:noWrap/>
            <w:vAlign w:val="center"/>
          </w:tcPr>
          <w:p w14:paraId="2979C49B">
            <w:pPr>
              <w:widowControl/>
              <w:spacing w:line="360" w:lineRule="auto"/>
              <w:ind w:firstLine="0" w:firstLineChars="0"/>
              <w:jc w:val="both"/>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rPr>
              <w:t>每年开展公众对生态文明建设的满意度和参与度调查，调查问卷需涵盖不同年龄、不同学历、不同职业等情况，问卷数量不低于600份</w:t>
            </w:r>
            <w:r>
              <w:rPr>
                <w:rFonts w:hint="eastAsia" w:ascii="仿宋_GB2312" w:hAnsi="仿宋_GB2312" w:eastAsia="仿宋_GB2312" w:cs="仿宋_GB2312"/>
                <w:kern w:val="0"/>
                <w:sz w:val="21"/>
                <w:szCs w:val="21"/>
                <w:highlight w:val="none"/>
                <w:lang w:eastAsia="zh-CN"/>
              </w:rPr>
              <w:t>。</w:t>
            </w:r>
          </w:p>
        </w:tc>
        <w:tc>
          <w:tcPr>
            <w:tcW w:w="1255" w:type="dxa"/>
            <w:tcBorders>
              <w:top w:val="single" w:color="auto" w:sz="4" w:space="0"/>
              <w:left w:val="single" w:color="auto" w:sz="4" w:space="0"/>
              <w:bottom w:val="single" w:color="auto" w:sz="4" w:space="0"/>
              <w:right w:val="single" w:color="auto" w:sz="4" w:space="0"/>
            </w:tcBorders>
            <w:noWrap/>
            <w:vAlign w:val="center"/>
          </w:tcPr>
          <w:p w14:paraId="41E4C55C">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100</w:t>
            </w:r>
          </w:p>
        </w:tc>
        <w:tc>
          <w:tcPr>
            <w:tcW w:w="1319" w:type="dxa"/>
            <w:tcBorders>
              <w:top w:val="single" w:color="auto" w:sz="4" w:space="0"/>
              <w:left w:val="single" w:color="auto" w:sz="4" w:space="0"/>
              <w:bottom w:val="single" w:color="auto" w:sz="4" w:space="0"/>
              <w:right w:val="single" w:color="auto" w:sz="4" w:space="0"/>
            </w:tcBorders>
            <w:noWrap/>
            <w:vAlign w:val="center"/>
          </w:tcPr>
          <w:p w14:paraId="28B0283A">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202</w:t>
            </w:r>
            <w:r>
              <w:rPr>
                <w:rFonts w:hint="eastAsia" w:ascii="仿宋_GB2312" w:hAnsi="仿宋_GB2312" w:eastAsia="仿宋_GB2312" w:cs="仿宋_GB2312"/>
                <w:kern w:val="0"/>
                <w:sz w:val="21"/>
                <w:szCs w:val="21"/>
                <w:highlight w:val="none"/>
                <w:lang w:val="en-US" w:eastAsia="zh-CN"/>
              </w:rPr>
              <w:t>4</w:t>
            </w:r>
            <w:r>
              <w:rPr>
                <w:rFonts w:hint="eastAsia" w:ascii="仿宋_GB2312" w:hAnsi="仿宋_GB2312" w:eastAsia="仿宋_GB2312" w:cs="仿宋_GB2312"/>
                <w:kern w:val="0"/>
                <w:sz w:val="21"/>
                <w:szCs w:val="21"/>
                <w:highlight w:val="none"/>
              </w:rPr>
              <w:t>-2030</w:t>
            </w:r>
          </w:p>
        </w:tc>
        <w:tc>
          <w:tcPr>
            <w:tcW w:w="1511" w:type="dxa"/>
            <w:tcBorders>
              <w:top w:val="single" w:color="auto" w:sz="4" w:space="0"/>
              <w:left w:val="single" w:color="auto" w:sz="4" w:space="0"/>
              <w:bottom w:val="single" w:color="auto" w:sz="4" w:space="0"/>
              <w:right w:val="single" w:color="auto" w:sz="4" w:space="0"/>
            </w:tcBorders>
            <w:noWrap/>
            <w:vAlign w:val="center"/>
          </w:tcPr>
          <w:p w14:paraId="0DC013F4">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五常市综合服务中心</w:t>
            </w:r>
          </w:p>
        </w:tc>
      </w:tr>
      <w:tr w14:paraId="1891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continue"/>
            <w:tcBorders>
              <w:left w:val="single" w:color="auto" w:sz="4" w:space="0"/>
              <w:right w:val="single" w:color="auto" w:sz="4" w:space="0"/>
            </w:tcBorders>
            <w:noWrap/>
            <w:vAlign w:val="center"/>
          </w:tcPr>
          <w:p w14:paraId="329C251D">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2FF895E7">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noWrap/>
            <w:vAlign w:val="center"/>
          </w:tcPr>
          <w:p w14:paraId="34343007">
            <w:pPr>
              <w:widowControl/>
              <w:spacing w:line="360" w:lineRule="auto"/>
              <w:ind w:firstLine="0" w:firstLineChars="0"/>
              <w:jc w:val="both"/>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生态文明宣传教育能力提升项目</w:t>
            </w:r>
          </w:p>
        </w:tc>
        <w:tc>
          <w:tcPr>
            <w:tcW w:w="6064" w:type="dxa"/>
            <w:tcBorders>
              <w:top w:val="single" w:color="auto" w:sz="4" w:space="0"/>
              <w:left w:val="single" w:color="auto" w:sz="4" w:space="0"/>
              <w:bottom w:val="single" w:color="auto" w:sz="4" w:space="0"/>
              <w:right w:val="single" w:color="auto" w:sz="4" w:space="0"/>
            </w:tcBorders>
            <w:noWrap/>
            <w:vAlign w:val="center"/>
          </w:tcPr>
          <w:p w14:paraId="3EEE9B8D">
            <w:pPr>
              <w:widowControl/>
              <w:spacing w:line="360" w:lineRule="auto"/>
              <w:ind w:firstLine="0" w:firstLineChars="0"/>
              <w:jc w:val="both"/>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rPr>
              <w:t>以生态环境为主题宣传重点，对污染防治、生态环境、治水为民、垃圾分类、环境科普等进行主题策划宣传，主要以挖掘环境治理成效的典型案例为主，派出专职跑线记者、专业摄影摄像记者实地采写拍摄，并通过网站稿件、微信推文等新媒体产品精心策划和包装，将</w:t>
            </w:r>
            <w:r>
              <w:rPr>
                <w:rFonts w:hint="eastAsia" w:ascii="仿宋_GB2312" w:hAnsi="仿宋_GB2312" w:eastAsia="仿宋_GB2312" w:cs="仿宋_GB2312"/>
                <w:kern w:val="0"/>
                <w:sz w:val="21"/>
                <w:szCs w:val="21"/>
                <w:highlight w:val="none"/>
                <w:lang w:val="en-US" w:eastAsia="zh-CN"/>
              </w:rPr>
              <w:t>五常市</w:t>
            </w:r>
            <w:r>
              <w:rPr>
                <w:rFonts w:hint="eastAsia" w:ascii="仿宋_GB2312" w:hAnsi="仿宋_GB2312" w:eastAsia="仿宋_GB2312" w:cs="仿宋_GB2312"/>
                <w:kern w:val="0"/>
                <w:sz w:val="21"/>
                <w:szCs w:val="21"/>
                <w:highlight w:val="none"/>
              </w:rPr>
              <w:t>生态环境动态信息权威发布</w:t>
            </w:r>
            <w:r>
              <w:rPr>
                <w:rFonts w:hint="eastAsia" w:ascii="仿宋_GB2312" w:hAnsi="仿宋_GB2312" w:eastAsia="仿宋_GB2312" w:cs="仿宋_GB2312"/>
                <w:kern w:val="0"/>
                <w:sz w:val="21"/>
                <w:szCs w:val="21"/>
                <w:highlight w:val="none"/>
                <w:lang w:eastAsia="zh-CN"/>
              </w:rPr>
              <w:t>。</w:t>
            </w:r>
          </w:p>
        </w:tc>
        <w:tc>
          <w:tcPr>
            <w:tcW w:w="1255" w:type="dxa"/>
            <w:tcBorders>
              <w:top w:val="single" w:color="auto" w:sz="4" w:space="0"/>
              <w:left w:val="single" w:color="auto" w:sz="4" w:space="0"/>
              <w:bottom w:val="single" w:color="auto" w:sz="4" w:space="0"/>
              <w:right w:val="single" w:color="auto" w:sz="4" w:space="0"/>
            </w:tcBorders>
            <w:noWrap/>
            <w:vAlign w:val="center"/>
          </w:tcPr>
          <w:p w14:paraId="6740FCEB">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rPr>
            </w:pPr>
            <w:r>
              <w:rPr>
                <w:rFonts w:hint="eastAsia" w:ascii="仿宋_GB2312" w:hAnsi="仿宋_GB2312" w:eastAsia="仿宋_GB2312" w:cs="仿宋_GB2312"/>
                <w:kern w:val="0"/>
                <w:sz w:val="21"/>
                <w:szCs w:val="21"/>
                <w:highlight w:val="none"/>
                <w:lang w:val="en-US" w:eastAsia="zh-CN"/>
              </w:rPr>
              <w:t>50</w:t>
            </w:r>
          </w:p>
        </w:tc>
        <w:tc>
          <w:tcPr>
            <w:tcW w:w="1319" w:type="dxa"/>
            <w:tcBorders>
              <w:top w:val="single" w:color="auto" w:sz="4" w:space="0"/>
              <w:left w:val="single" w:color="auto" w:sz="4" w:space="0"/>
              <w:bottom w:val="single" w:color="auto" w:sz="4" w:space="0"/>
              <w:right w:val="single" w:color="auto" w:sz="4" w:space="0"/>
            </w:tcBorders>
            <w:noWrap/>
            <w:vAlign w:val="center"/>
          </w:tcPr>
          <w:p w14:paraId="6F0152BF">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202</w:t>
            </w:r>
            <w:r>
              <w:rPr>
                <w:rFonts w:hint="eastAsia" w:ascii="仿宋_GB2312" w:hAnsi="仿宋_GB2312" w:eastAsia="仿宋_GB2312" w:cs="仿宋_GB2312"/>
                <w:kern w:val="0"/>
                <w:sz w:val="21"/>
                <w:szCs w:val="21"/>
                <w:highlight w:val="none"/>
                <w:lang w:val="en-US" w:eastAsia="zh-CN"/>
              </w:rPr>
              <w:t>4</w:t>
            </w:r>
            <w:r>
              <w:rPr>
                <w:rFonts w:hint="eastAsia" w:ascii="仿宋_GB2312" w:hAnsi="仿宋_GB2312" w:eastAsia="仿宋_GB2312" w:cs="仿宋_GB2312"/>
                <w:kern w:val="0"/>
                <w:sz w:val="21"/>
                <w:szCs w:val="21"/>
                <w:highlight w:val="none"/>
              </w:rPr>
              <w:t>-2030</w:t>
            </w:r>
          </w:p>
        </w:tc>
        <w:tc>
          <w:tcPr>
            <w:tcW w:w="1511" w:type="dxa"/>
            <w:tcBorders>
              <w:top w:val="single" w:color="auto" w:sz="4" w:space="0"/>
              <w:left w:val="single" w:color="auto" w:sz="4" w:space="0"/>
              <w:bottom w:val="single" w:color="auto" w:sz="4" w:space="0"/>
              <w:right w:val="single" w:color="auto" w:sz="4" w:space="0"/>
            </w:tcBorders>
            <w:noWrap/>
            <w:vAlign w:val="center"/>
          </w:tcPr>
          <w:p w14:paraId="3579A038">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五常市综合服务中心</w:t>
            </w:r>
          </w:p>
        </w:tc>
      </w:tr>
      <w:tr w14:paraId="5991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continue"/>
            <w:tcBorders>
              <w:left w:val="single" w:color="auto" w:sz="4" w:space="0"/>
              <w:right w:val="single" w:color="auto" w:sz="4" w:space="0"/>
            </w:tcBorders>
            <w:noWrap/>
            <w:vAlign w:val="center"/>
          </w:tcPr>
          <w:p w14:paraId="618B4CDB">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07BB90EE">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p>
        </w:tc>
        <w:tc>
          <w:tcPr>
            <w:tcW w:w="1713" w:type="dxa"/>
            <w:tcBorders>
              <w:top w:val="single" w:color="auto" w:sz="4" w:space="0"/>
              <w:left w:val="single" w:color="auto" w:sz="4" w:space="0"/>
              <w:bottom w:val="single" w:color="auto" w:sz="4" w:space="0"/>
              <w:right w:val="single" w:color="auto" w:sz="4" w:space="0"/>
            </w:tcBorders>
            <w:noWrap/>
            <w:vAlign w:val="center"/>
          </w:tcPr>
          <w:p w14:paraId="52407B83">
            <w:pPr>
              <w:widowControl/>
              <w:spacing w:line="360" w:lineRule="auto"/>
              <w:ind w:firstLine="0" w:firstLineChars="0"/>
              <w:jc w:val="both"/>
              <w:textAlignment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哈尔滨市五常市福熙荟文创展示中心项目</w:t>
            </w:r>
          </w:p>
        </w:tc>
        <w:tc>
          <w:tcPr>
            <w:tcW w:w="6064" w:type="dxa"/>
            <w:tcBorders>
              <w:top w:val="single" w:color="auto" w:sz="4" w:space="0"/>
              <w:left w:val="single" w:color="auto" w:sz="4" w:space="0"/>
              <w:bottom w:val="single" w:color="auto" w:sz="4" w:space="0"/>
              <w:right w:val="single" w:color="auto" w:sz="4" w:space="0"/>
            </w:tcBorders>
            <w:noWrap/>
            <w:vAlign w:val="center"/>
          </w:tcPr>
          <w:p w14:paraId="35167A38">
            <w:pPr>
              <w:widowControl/>
              <w:spacing w:line="360" w:lineRule="auto"/>
              <w:ind w:firstLine="0" w:firstLineChars="0"/>
              <w:jc w:val="both"/>
              <w:textAlignment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规划占地面积8万平方米，建筑面积4万平方米，建设商务酒店、会展中心、体育健身、文创产品展示中心及餐饮服务中心，年服务人群50万人。</w:t>
            </w:r>
          </w:p>
        </w:tc>
        <w:tc>
          <w:tcPr>
            <w:tcW w:w="1255" w:type="dxa"/>
            <w:tcBorders>
              <w:top w:val="single" w:color="auto" w:sz="4" w:space="0"/>
              <w:left w:val="single" w:color="auto" w:sz="4" w:space="0"/>
              <w:bottom w:val="single" w:color="auto" w:sz="4" w:space="0"/>
              <w:right w:val="single" w:color="auto" w:sz="4" w:space="0"/>
            </w:tcBorders>
            <w:noWrap/>
            <w:vAlign w:val="center"/>
          </w:tcPr>
          <w:p w14:paraId="342450AE">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10000</w:t>
            </w:r>
          </w:p>
        </w:tc>
        <w:tc>
          <w:tcPr>
            <w:tcW w:w="1319" w:type="dxa"/>
            <w:tcBorders>
              <w:top w:val="single" w:color="auto" w:sz="4" w:space="0"/>
              <w:left w:val="single" w:color="auto" w:sz="4" w:space="0"/>
              <w:bottom w:val="single" w:color="auto" w:sz="4" w:space="0"/>
              <w:right w:val="single" w:color="auto" w:sz="4" w:space="0"/>
            </w:tcBorders>
            <w:noWrap/>
            <w:vAlign w:val="center"/>
          </w:tcPr>
          <w:p w14:paraId="70D1EA4B">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2024-2025</w:t>
            </w:r>
          </w:p>
        </w:tc>
        <w:tc>
          <w:tcPr>
            <w:tcW w:w="1511" w:type="dxa"/>
            <w:tcBorders>
              <w:top w:val="single" w:color="auto" w:sz="4" w:space="0"/>
              <w:left w:val="single" w:color="auto" w:sz="4" w:space="0"/>
              <w:bottom w:val="single" w:color="auto" w:sz="4" w:space="0"/>
              <w:right w:val="single" w:color="auto" w:sz="4" w:space="0"/>
            </w:tcBorders>
            <w:noWrap/>
            <w:vAlign w:val="center"/>
          </w:tcPr>
          <w:p w14:paraId="2208AD4E">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五常市文体局</w:t>
            </w:r>
          </w:p>
        </w:tc>
      </w:tr>
      <w:tr w14:paraId="7A8A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tcBorders>
              <w:top w:val="single" w:color="auto" w:sz="4" w:space="0"/>
              <w:left w:val="single" w:color="auto" w:sz="4" w:space="0"/>
              <w:right w:val="single" w:color="auto" w:sz="4" w:space="0"/>
            </w:tcBorders>
            <w:noWrap/>
            <w:vAlign w:val="center"/>
          </w:tcPr>
          <w:p w14:paraId="129E1DCA">
            <w:pPr>
              <w:widowControl/>
              <w:spacing w:line="360" w:lineRule="auto"/>
              <w:ind w:firstLine="0" w:firstLineChars="0"/>
              <w:jc w:val="center"/>
              <w:rPr>
                <w:rFonts w:hint="eastAsia" w:ascii="仿宋_GB2312" w:hAnsi="仿宋_GB2312" w:eastAsia="仿宋_GB2312" w:cs="仿宋_GB2312"/>
                <w:b/>
                <w:kern w:val="0"/>
                <w:sz w:val="21"/>
                <w:szCs w:val="21"/>
                <w:highlight w:val="none"/>
                <w:lang w:eastAsia="zh-CN"/>
              </w:rPr>
            </w:pPr>
            <w:r>
              <w:rPr>
                <w:rFonts w:hint="eastAsia" w:ascii="仿宋_GB2312" w:hAnsi="仿宋_GB2312" w:eastAsia="仿宋_GB2312" w:cs="仿宋_GB2312"/>
                <w:b/>
                <w:kern w:val="0"/>
                <w:sz w:val="21"/>
                <w:szCs w:val="21"/>
                <w:highlight w:val="none"/>
              </w:rPr>
              <w:t>生态</w:t>
            </w:r>
            <w:r>
              <w:rPr>
                <w:rFonts w:hint="eastAsia" w:ascii="仿宋_GB2312" w:hAnsi="仿宋_GB2312" w:eastAsia="仿宋_GB2312" w:cs="仿宋_GB2312"/>
                <w:b/>
                <w:kern w:val="0"/>
                <w:sz w:val="21"/>
                <w:szCs w:val="21"/>
                <w:highlight w:val="none"/>
                <w:lang w:val="en-US" w:eastAsia="zh-CN"/>
              </w:rPr>
              <w:t>文明制度体系</w:t>
            </w:r>
          </w:p>
        </w:tc>
        <w:tc>
          <w:tcPr>
            <w:tcW w:w="711" w:type="dxa"/>
            <w:tcBorders>
              <w:top w:val="single" w:color="auto" w:sz="4" w:space="0"/>
              <w:left w:val="single" w:color="auto" w:sz="4" w:space="0"/>
              <w:bottom w:val="single" w:color="auto" w:sz="4" w:space="0"/>
              <w:right w:val="single" w:color="auto" w:sz="4" w:space="0"/>
            </w:tcBorders>
            <w:vAlign w:val="center"/>
          </w:tcPr>
          <w:p w14:paraId="798C15ED">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rPr>
              <w:t>4</w:t>
            </w:r>
          </w:p>
        </w:tc>
        <w:tc>
          <w:tcPr>
            <w:tcW w:w="1713" w:type="dxa"/>
            <w:tcBorders>
              <w:top w:val="single" w:color="auto" w:sz="4" w:space="0"/>
              <w:left w:val="single" w:color="auto" w:sz="4" w:space="0"/>
              <w:bottom w:val="single" w:color="auto" w:sz="4" w:space="0"/>
              <w:right w:val="single" w:color="auto" w:sz="4" w:space="0"/>
            </w:tcBorders>
            <w:noWrap/>
            <w:vAlign w:val="center"/>
          </w:tcPr>
          <w:p w14:paraId="15D33DBA">
            <w:pPr>
              <w:widowControl/>
              <w:spacing w:line="360" w:lineRule="auto"/>
              <w:ind w:firstLine="0" w:firstLineChars="0"/>
              <w:jc w:val="both"/>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val="en-US" w:eastAsia="zh-CN"/>
              </w:rPr>
              <w:t>五常市</w:t>
            </w:r>
            <w:r>
              <w:rPr>
                <w:rFonts w:hint="eastAsia" w:ascii="仿宋_GB2312" w:hAnsi="仿宋_GB2312" w:eastAsia="仿宋_GB2312" w:cs="仿宋_GB2312"/>
                <w:kern w:val="0"/>
                <w:sz w:val="21"/>
                <w:szCs w:val="21"/>
                <w:highlight w:val="none"/>
              </w:rPr>
              <w:t>生态文明建设示范区规划编制项目</w:t>
            </w:r>
          </w:p>
        </w:tc>
        <w:tc>
          <w:tcPr>
            <w:tcW w:w="6064" w:type="dxa"/>
            <w:tcBorders>
              <w:top w:val="single" w:color="auto" w:sz="4" w:space="0"/>
              <w:left w:val="single" w:color="auto" w:sz="4" w:space="0"/>
              <w:bottom w:val="single" w:color="auto" w:sz="4" w:space="0"/>
              <w:right w:val="single" w:color="auto" w:sz="4" w:space="0"/>
            </w:tcBorders>
            <w:noWrap/>
            <w:vAlign w:val="center"/>
          </w:tcPr>
          <w:p w14:paraId="18BF1DD3">
            <w:pPr>
              <w:widowControl/>
              <w:spacing w:line="360" w:lineRule="auto"/>
              <w:ind w:firstLine="0" w:firstLineChars="0"/>
              <w:jc w:val="left"/>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编制《</w:t>
            </w:r>
            <w:r>
              <w:rPr>
                <w:rFonts w:hint="eastAsia" w:ascii="仿宋_GB2312" w:hAnsi="仿宋_GB2312" w:eastAsia="仿宋_GB2312" w:cs="仿宋_GB2312"/>
                <w:kern w:val="0"/>
                <w:sz w:val="21"/>
                <w:szCs w:val="21"/>
                <w:highlight w:val="none"/>
                <w:lang w:val="en-US" w:eastAsia="zh-CN"/>
              </w:rPr>
              <w:t>五常市</w:t>
            </w:r>
            <w:r>
              <w:rPr>
                <w:rFonts w:hint="eastAsia" w:ascii="仿宋_GB2312" w:hAnsi="仿宋_GB2312" w:eastAsia="仿宋_GB2312" w:cs="仿宋_GB2312"/>
                <w:kern w:val="0"/>
                <w:sz w:val="21"/>
                <w:szCs w:val="21"/>
                <w:highlight w:val="none"/>
              </w:rPr>
              <w:t>生态文明建设示范区规划》，作为指导全</w:t>
            </w:r>
            <w:r>
              <w:rPr>
                <w:rFonts w:hint="eastAsia" w:ascii="仿宋_GB2312" w:hAnsi="仿宋_GB2312" w:eastAsia="仿宋_GB2312" w:cs="仿宋_GB2312"/>
                <w:kern w:val="0"/>
                <w:sz w:val="21"/>
                <w:szCs w:val="21"/>
                <w:highlight w:val="none"/>
                <w:lang w:val="en-US" w:eastAsia="zh-CN"/>
              </w:rPr>
              <w:t>市</w:t>
            </w:r>
            <w:r>
              <w:rPr>
                <w:rFonts w:hint="eastAsia" w:ascii="仿宋_GB2312" w:hAnsi="仿宋_GB2312" w:eastAsia="仿宋_GB2312" w:cs="仿宋_GB2312"/>
                <w:kern w:val="0"/>
                <w:sz w:val="21"/>
                <w:szCs w:val="21"/>
                <w:highlight w:val="none"/>
              </w:rPr>
              <w:t>生态文明</w:t>
            </w:r>
            <w:r>
              <w:rPr>
                <w:rFonts w:hint="eastAsia" w:ascii="仿宋_GB2312" w:hAnsi="仿宋_GB2312" w:eastAsia="仿宋_GB2312" w:cs="仿宋_GB2312"/>
                <w:kern w:val="0"/>
                <w:sz w:val="21"/>
                <w:szCs w:val="21"/>
                <w:highlight w:val="none"/>
                <w:lang w:eastAsia="zh-CN"/>
              </w:rPr>
              <w:t>建设</w:t>
            </w:r>
            <w:r>
              <w:rPr>
                <w:rFonts w:hint="eastAsia" w:ascii="仿宋_GB2312" w:hAnsi="仿宋_GB2312" w:eastAsia="仿宋_GB2312" w:cs="仿宋_GB2312"/>
                <w:kern w:val="0"/>
                <w:sz w:val="21"/>
                <w:szCs w:val="21"/>
                <w:highlight w:val="none"/>
              </w:rPr>
              <w:t>的指导性文件。</w:t>
            </w:r>
          </w:p>
        </w:tc>
        <w:tc>
          <w:tcPr>
            <w:tcW w:w="1255" w:type="dxa"/>
            <w:tcBorders>
              <w:top w:val="single" w:color="auto" w:sz="4" w:space="0"/>
              <w:left w:val="single" w:color="auto" w:sz="4" w:space="0"/>
              <w:bottom w:val="single" w:color="auto" w:sz="4" w:space="0"/>
              <w:right w:val="single" w:color="auto" w:sz="4" w:space="0"/>
            </w:tcBorders>
            <w:noWrap/>
            <w:vAlign w:val="center"/>
          </w:tcPr>
          <w:p w14:paraId="49D3DBCB">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100</w:t>
            </w:r>
          </w:p>
        </w:tc>
        <w:tc>
          <w:tcPr>
            <w:tcW w:w="1319" w:type="dxa"/>
            <w:tcBorders>
              <w:top w:val="single" w:color="auto" w:sz="4" w:space="0"/>
              <w:left w:val="single" w:color="auto" w:sz="4" w:space="0"/>
              <w:bottom w:val="single" w:color="auto" w:sz="4" w:space="0"/>
              <w:right w:val="single" w:color="auto" w:sz="4" w:space="0"/>
            </w:tcBorders>
            <w:noWrap/>
            <w:vAlign w:val="center"/>
          </w:tcPr>
          <w:p w14:paraId="7092D683">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2024</w:t>
            </w:r>
          </w:p>
        </w:tc>
        <w:tc>
          <w:tcPr>
            <w:tcW w:w="1511" w:type="dxa"/>
            <w:tcBorders>
              <w:top w:val="single" w:color="auto" w:sz="4" w:space="0"/>
              <w:left w:val="single" w:color="auto" w:sz="4" w:space="0"/>
              <w:bottom w:val="single" w:color="auto" w:sz="4" w:space="0"/>
              <w:right w:val="single" w:color="auto" w:sz="4" w:space="0"/>
            </w:tcBorders>
            <w:noWrap/>
            <w:vAlign w:val="center"/>
          </w:tcPr>
          <w:p w14:paraId="0F1018BD">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五常市综合服务中心</w:t>
            </w:r>
          </w:p>
        </w:tc>
      </w:tr>
      <w:tr w14:paraId="2D42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18" w:type="dxa"/>
            <w:vMerge w:val="continue"/>
            <w:tcBorders>
              <w:left w:val="single" w:color="auto" w:sz="4" w:space="0"/>
              <w:right w:val="single" w:color="auto" w:sz="4" w:space="0"/>
            </w:tcBorders>
            <w:vAlign w:val="center"/>
          </w:tcPr>
          <w:p w14:paraId="3B8E90A0">
            <w:pPr>
              <w:widowControl/>
              <w:spacing w:line="360" w:lineRule="auto"/>
              <w:ind w:firstLine="0" w:firstLineChars="0"/>
              <w:jc w:val="center"/>
              <w:rPr>
                <w:rFonts w:hint="eastAsia" w:ascii="仿宋_GB2312" w:hAnsi="仿宋_GB2312" w:eastAsia="仿宋_GB2312" w:cs="仿宋_GB2312"/>
                <w:b/>
                <w:kern w:val="0"/>
                <w:sz w:val="21"/>
                <w:szCs w:val="21"/>
                <w:highlight w:val="none"/>
              </w:rPr>
            </w:pPr>
          </w:p>
        </w:tc>
        <w:tc>
          <w:tcPr>
            <w:tcW w:w="711" w:type="dxa"/>
            <w:tcBorders>
              <w:top w:val="single" w:color="auto" w:sz="4" w:space="0"/>
              <w:left w:val="single" w:color="auto" w:sz="4" w:space="0"/>
              <w:bottom w:val="single" w:color="auto" w:sz="4" w:space="0"/>
              <w:right w:val="single" w:color="auto" w:sz="4" w:space="0"/>
            </w:tcBorders>
            <w:vAlign w:val="center"/>
          </w:tcPr>
          <w:p w14:paraId="5513319F">
            <w:pPr>
              <w:pStyle w:val="30"/>
              <w:widowControl/>
              <w:numPr>
                <w:ilvl w:val="0"/>
                <w:numId w:val="15"/>
              </w:numPr>
              <w:spacing w:line="360" w:lineRule="auto"/>
              <w:ind w:left="0" w:leftChars="0" w:firstLine="0" w:firstLineChars="0"/>
              <w:jc w:val="both"/>
              <w:rPr>
                <w:rFonts w:hint="eastAsia" w:ascii="仿宋_GB2312" w:hAnsi="仿宋_GB2312" w:eastAsia="仿宋_GB2312" w:cs="仿宋_GB2312"/>
                <w:b/>
                <w:kern w:val="0"/>
                <w:sz w:val="21"/>
                <w:szCs w:val="21"/>
                <w:highlight w:val="none"/>
              </w:rPr>
            </w:pPr>
            <w:r>
              <w:rPr>
                <w:rFonts w:hint="eastAsia" w:ascii="仿宋_GB2312" w:hAnsi="仿宋_GB2312" w:eastAsia="仿宋_GB2312" w:cs="仿宋_GB2312"/>
                <w:b/>
                <w:kern w:val="0"/>
                <w:sz w:val="21"/>
                <w:szCs w:val="21"/>
                <w:highlight w:val="none"/>
              </w:rPr>
              <w:t>6</w:t>
            </w:r>
          </w:p>
        </w:tc>
        <w:tc>
          <w:tcPr>
            <w:tcW w:w="1713" w:type="dxa"/>
            <w:tcBorders>
              <w:top w:val="single" w:color="auto" w:sz="4" w:space="0"/>
              <w:left w:val="single" w:color="auto" w:sz="4" w:space="0"/>
              <w:bottom w:val="single" w:color="auto" w:sz="4" w:space="0"/>
              <w:right w:val="single" w:color="auto" w:sz="4" w:space="0"/>
            </w:tcBorders>
            <w:noWrap/>
            <w:vAlign w:val="center"/>
          </w:tcPr>
          <w:p w14:paraId="1F43A55F">
            <w:pPr>
              <w:widowControl/>
              <w:spacing w:line="360" w:lineRule="auto"/>
              <w:ind w:firstLine="0" w:firstLineChars="0"/>
              <w:jc w:val="both"/>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企事业单位环境信息公开平台建设项目</w:t>
            </w:r>
          </w:p>
        </w:tc>
        <w:tc>
          <w:tcPr>
            <w:tcW w:w="6064" w:type="dxa"/>
            <w:tcBorders>
              <w:top w:val="single" w:color="auto" w:sz="4" w:space="0"/>
              <w:left w:val="single" w:color="auto" w:sz="4" w:space="0"/>
              <w:bottom w:val="single" w:color="auto" w:sz="4" w:space="0"/>
              <w:right w:val="single" w:color="auto" w:sz="4" w:space="0"/>
            </w:tcBorders>
            <w:noWrap/>
            <w:vAlign w:val="center"/>
          </w:tcPr>
          <w:p w14:paraId="65605718">
            <w:pPr>
              <w:widowControl/>
              <w:spacing w:line="360" w:lineRule="auto"/>
              <w:ind w:firstLine="0" w:firstLineChars="0"/>
              <w:jc w:val="left"/>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rPr>
              <w:t>建设</w:t>
            </w:r>
            <w:r>
              <w:rPr>
                <w:rFonts w:hint="eastAsia" w:ascii="仿宋_GB2312" w:hAnsi="仿宋_GB2312" w:eastAsia="仿宋_GB2312" w:cs="仿宋_GB2312"/>
                <w:kern w:val="0"/>
                <w:sz w:val="21"/>
                <w:szCs w:val="21"/>
                <w:highlight w:val="none"/>
                <w:lang w:val="en-US" w:eastAsia="zh-CN"/>
              </w:rPr>
              <w:t>五常市</w:t>
            </w:r>
            <w:r>
              <w:rPr>
                <w:rFonts w:hint="eastAsia" w:ascii="仿宋_GB2312" w:hAnsi="仿宋_GB2312" w:eastAsia="仿宋_GB2312" w:cs="仿宋_GB2312"/>
                <w:kern w:val="0"/>
                <w:sz w:val="21"/>
                <w:szCs w:val="21"/>
                <w:highlight w:val="none"/>
              </w:rPr>
              <w:t>企事业单位环境信息公开平台，纳入重点排污单位环境信息。依托平台汇总的环境信息，对企业环境信用进行评价，评价结果定期通过媒体发布</w:t>
            </w:r>
            <w:r>
              <w:rPr>
                <w:rFonts w:hint="eastAsia" w:ascii="仿宋_GB2312" w:hAnsi="仿宋_GB2312" w:eastAsia="仿宋_GB2312" w:cs="仿宋_GB2312"/>
                <w:kern w:val="0"/>
                <w:sz w:val="21"/>
                <w:szCs w:val="21"/>
                <w:highlight w:val="none"/>
                <w:lang w:eastAsia="zh-CN"/>
              </w:rPr>
              <w:t>。</w:t>
            </w:r>
          </w:p>
        </w:tc>
        <w:tc>
          <w:tcPr>
            <w:tcW w:w="1255" w:type="dxa"/>
            <w:tcBorders>
              <w:top w:val="single" w:color="auto" w:sz="4" w:space="0"/>
              <w:left w:val="single" w:color="auto" w:sz="4" w:space="0"/>
              <w:bottom w:val="single" w:color="auto" w:sz="4" w:space="0"/>
              <w:right w:val="single" w:color="auto" w:sz="4" w:space="0"/>
            </w:tcBorders>
            <w:noWrap/>
            <w:vAlign w:val="center"/>
          </w:tcPr>
          <w:p w14:paraId="6C940472">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100</w:t>
            </w:r>
          </w:p>
        </w:tc>
        <w:tc>
          <w:tcPr>
            <w:tcW w:w="1319" w:type="dxa"/>
            <w:tcBorders>
              <w:top w:val="single" w:color="auto" w:sz="4" w:space="0"/>
              <w:left w:val="single" w:color="auto" w:sz="4" w:space="0"/>
              <w:bottom w:val="single" w:color="auto" w:sz="4" w:space="0"/>
              <w:right w:val="single" w:color="auto" w:sz="4" w:space="0"/>
            </w:tcBorders>
            <w:noWrap/>
            <w:vAlign w:val="center"/>
          </w:tcPr>
          <w:p w14:paraId="63A94BC9">
            <w:pPr>
              <w:widowControl/>
              <w:spacing w:line="360" w:lineRule="auto"/>
              <w:ind w:firstLine="0" w:firstLineChars="0"/>
              <w:jc w:val="center"/>
              <w:rPr>
                <w:rFonts w:hint="eastAsia"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2024-2026</w:t>
            </w:r>
          </w:p>
        </w:tc>
        <w:tc>
          <w:tcPr>
            <w:tcW w:w="1511" w:type="dxa"/>
            <w:tcBorders>
              <w:top w:val="single" w:color="auto" w:sz="4" w:space="0"/>
              <w:left w:val="single" w:color="auto" w:sz="4" w:space="0"/>
              <w:bottom w:val="single" w:color="auto" w:sz="4" w:space="0"/>
              <w:right w:val="single" w:color="auto" w:sz="4" w:space="0"/>
            </w:tcBorders>
            <w:noWrap/>
            <w:vAlign w:val="center"/>
          </w:tcPr>
          <w:p w14:paraId="141CD14A">
            <w:pPr>
              <w:widowControl/>
              <w:spacing w:line="36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五常市综合服务中心</w:t>
            </w:r>
          </w:p>
        </w:tc>
      </w:tr>
    </w:tbl>
    <w:p w14:paraId="050D4AD5">
      <w:pPr>
        <w:ind w:firstLine="480"/>
        <w:rPr>
          <w:highlight w:val="none"/>
        </w:rPr>
      </w:pPr>
    </w:p>
    <w:p w14:paraId="1E9A10DC">
      <w:pPr>
        <w:pStyle w:val="19"/>
        <w:rPr>
          <w:rFonts w:hint="eastAsia"/>
          <w:highlight w:val="none"/>
          <w:lang w:val="en-US" w:eastAsia="zh-CN"/>
        </w:rPr>
      </w:pPr>
    </w:p>
    <w:p w14:paraId="4F5B2C86">
      <w:pPr>
        <w:pStyle w:val="19"/>
        <w:rPr>
          <w:rFonts w:hint="eastAsia" w:ascii="Times New Roman" w:hAnsi="Times New Roman" w:eastAsia="仿宋_GB2312" w:cs="Times New Roman"/>
          <w:snapToGrid/>
          <w:color w:val="auto"/>
          <w:kern w:val="2"/>
          <w:sz w:val="24"/>
          <w:szCs w:val="24"/>
          <w:highlight w:val="none"/>
          <w:lang w:val="en-US" w:eastAsia="zh-CN" w:bidi="ar-SA"/>
        </w:rPr>
      </w:pPr>
    </w:p>
    <w:p w14:paraId="16391F4C">
      <w:pPr>
        <w:pStyle w:val="18"/>
        <w:rPr>
          <w:rFonts w:hint="eastAsia" w:ascii="Times New Roman" w:hAnsi="Times New Roman" w:eastAsia="仿宋_GB2312" w:cs="Times New Roman"/>
          <w:snapToGrid/>
          <w:color w:val="auto"/>
          <w:kern w:val="2"/>
          <w:sz w:val="24"/>
          <w:szCs w:val="24"/>
          <w:highlight w:val="none"/>
          <w:lang w:val="en-US" w:eastAsia="zh-CN" w:bidi="ar-SA"/>
        </w:rPr>
      </w:pPr>
    </w:p>
    <w:p w14:paraId="0CB1EDEB">
      <w:pPr>
        <w:rPr>
          <w:rFonts w:hint="eastAsia" w:ascii="Times New Roman" w:hAnsi="Times New Roman" w:eastAsia="仿宋_GB2312" w:cs="Times New Roman"/>
          <w:snapToGrid/>
          <w:color w:val="auto"/>
          <w:kern w:val="2"/>
          <w:sz w:val="24"/>
          <w:szCs w:val="24"/>
          <w:highlight w:val="none"/>
          <w:lang w:val="en-US" w:eastAsia="zh-CN" w:bidi="ar-SA"/>
        </w:rPr>
      </w:pPr>
    </w:p>
    <w:p w14:paraId="3395ED9C">
      <w:pPr>
        <w:pStyle w:val="19"/>
        <w:rPr>
          <w:rFonts w:hint="eastAsia" w:ascii="Times New Roman" w:hAnsi="Times New Roman" w:eastAsia="仿宋_GB2312" w:cs="Times New Roman"/>
          <w:snapToGrid/>
          <w:color w:val="auto"/>
          <w:kern w:val="2"/>
          <w:sz w:val="24"/>
          <w:szCs w:val="24"/>
          <w:highlight w:val="none"/>
          <w:lang w:val="en-US" w:eastAsia="zh-CN" w:bidi="ar-SA"/>
        </w:rPr>
      </w:pPr>
    </w:p>
    <w:p w14:paraId="25AF1FE2">
      <w:pPr>
        <w:pStyle w:val="18"/>
        <w:rPr>
          <w:rFonts w:hint="eastAsia" w:ascii="Times New Roman" w:hAnsi="Times New Roman" w:eastAsia="仿宋_GB2312" w:cs="Times New Roman"/>
          <w:snapToGrid/>
          <w:color w:val="auto"/>
          <w:kern w:val="2"/>
          <w:sz w:val="24"/>
          <w:szCs w:val="24"/>
          <w:highlight w:val="none"/>
          <w:lang w:val="en-US" w:eastAsia="zh-CN" w:bidi="ar-SA"/>
        </w:rPr>
      </w:pPr>
    </w:p>
    <w:p w14:paraId="7A45ED33">
      <w:pPr>
        <w:rPr>
          <w:rFonts w:hint="eastAsia" w:ascii="Times New Roman" w:hAnsi="Times New Roman" w:eastAsia="仿宋_GB2312" w:cs="Times New Roman"/>
          <w:snapToGrid/>
          <w:color w:val="auto"/>
          <w:kern w:val="2"/>
          <w:sz w:val="24"/>
          <w:szCs w:val="24"/>
          <w:highlight w:val="none"/>
          <w:lang w:val="en-US" w:eastAsia="zh-CN" w:bidi="ar-SA"/>
        </w:rPr>
      </w:pPr>
    </w:p>
    <w:p w14:paraId="2486F2BE">
      <w:pPr>
        <w:pStyle w:val="19"/>
        <w:rPr>
          <w:rFonts w:hint="eastAsia" w:ascii="Times New Roman" w:hAnsi="Times New Roman" w:eastAsia="仿宋_GB2312" w:cs="Times New Roman"/>
          <w:snapToGrid/>
          <w:color w:val="auto"/>
          <w:kern w:val="2"/>
          <w:sz w:val="24"/>
          <w:szCs w:val="24"/>
          <w:highlight w:val="none"/>
          <w:lang w:val="en-US" w:eastAsia="zh-CN" w:bidi="ar-SA"/>
        </w:rPr>
      </w:pPr>
    </w:p>
    <w:p w14:paraId="4423F68B">
      <w:pPr>
        <w:pStyle w:val="19"/>
        <w:rPr>
          <w:rFonts w:hint="eastAsia"/>
          <w:highlight w:val="none"/>
          <w:lang w:val="en-US" w:eastAsia="zh-CN"/>
        </w:rPr>
        <w:sectPr>
          <w:pgSz w:w="16839" w:h="11907" w:orient="landscape"/>
          <w:pgMar w:top="1785" w:right="1431" w:bottom="1785" w:left="1358" w:header="0" w:footer="1197" w:gutter="0"/>
          <w:pgNumType w:fmt="decimal"/>
          <w:cols w:space="720" w:num="1"/>
        </w:sectPr>
      </w:pPr>
    </w:p>
    <w:p w14:paraId="01890D8E">
      <w:pPr>
        <w:pStyle w:val="3"/>
        <w:keepNext w:val="0"/>
        <w:keepLines w:val="0"/>
        <w:pageBreakBefore w:val="0"/>
        <w:widowControl w:val="0"/>
        <w:numPr>
          <w:ilvl w:val="0"/>
          <w:numId w:val="16"/>
        </w:numPr>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108" w:name="_Toc12255"/>
      <w:bookmarkStart w:id="109" w:name="_Toc30435"/>
      <w:bookmarkStart w:id="110" w:name="_Toc10635"/>
      <w:r>
        <w:rPr>
          <w:rFonts w:hint="eastAsia" w:ascii="方正楷体_GB2312" w:hAnsi="方正楷体_GB2312" w:eastAsia="方正楷体_GB2312" w:cs="方正楷体_GB2312"/>
          <w:b/>
          <w:bCs/>
          <w:snapToGrid/>
          <w:kern w:val="2"/>
          <w:szCs w:val="24"/>
          <w:highlight w:val="none"/>
          <w:lang w:eastAsia="zh-CN"/>
        </w:rPr>
        <w:t>效益分析</w:t>
      </w:r>
      <w:bookmarkEnd w:id="108"/>
      <w:bookmarkEnd w:id="109"/>
      <w:bookmarkEnd w:id="110"/>
    </w:p>
    <w:p w14:paraId="1764BDA3">
      <w:pPr>
        <w:pStyle w:val="4"/>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napToGrid/>
          <w:kern w:val="2"/>
          <w:sz w:val="30"/>
          <w:szCs w:val="30"/>
          <w:highlight w:val="none"/>
          <w:lang w:val="en-US" w:eastAsia="zh-CN"/>
        </w:rPr>
      </w:pPr>
      <w:bookmarkStart w:id="111" w:name="_Toc27525"/>
      <w:bookmarkStart w:id="112" w:name="_Toc7145"/>
      <w:bookmarkStart w:id="113" w:name="_Toc16838"/>
      <w:r>
        <w:rPr>
          <w:rFonts w:hint="eastAsia" w:ascii="仿宋_GB2312" w:hAnsi="仿宋_GB2312" w:eastAsia="仿宋_GB2312" w:cs="仿宋_GB2312"/>
          <w:snapToGrid/>
          <w:kern w:val="2"/>
          <w:szCs w:val="24"/>
          <w:highlight w:val="none"/>
          <w:lang w:val="en-US" w:eastAsia="zh-CN"/>
        </w:rPr>
        <w:t>1.</w:t>
      </w:r>
      <w:r>
        <w:rPr>
          <w:rFonts w:hint="eastAsia" w:ascii="仿宋_GB2312" w:hAnsi="仿宋_GB2312" w:eastAsia="仿宋_GB2312" w:cs="仿宋_GB2312"/>
          <w:snapToGrid/>
          <w:kern w:val="2"/>
          <w:sz w:val="30"/>
          <w:szCs w:val="30"/>
          <w:highlight w:val="none"/>
          <w:lang w:val="en-US" w:eastAsia="zh-CN"/>
        </w:rPr>
        <w:t>生态环境效益分析</w:t>
      </w:r>
      <w:bookmarkEnd w:id="111"/>
      <w:bookmarkEnd w:id="112"/>
      <w:bookmarkEnd w:id="113"/>
    </w:p>
    <w:p w14:paraId="6BC8345C">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2" w:firstLineChars="200"/>
        <w:jc w:val="both"/>
        <w:textAlignment w:val="baseline"/>
        <w:rPr>
          <w:rFonts w:hint="eastAsia" w:ascii="Times New Roman" w:hAnsi="Times New Roman" w:eastAsia="仿宋_GB2312" w:cs="Times New Roman"/>
          <w:b w:val="0"/>
          <w:bCs w:val="0"/>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区域水、大气和土壤等环境质量改善。</w:t>
      </w:r>
      <w:r>
        <w:rPr>
          <w:rFonts w:hint="eastAsia" w:ascii="Times New Roman" w:hAnsi="Times New Roman" w:eastAsia="仿宋_GB2312" w:cs="Times New Roman"/>
          <w:b w:val="0"/>
          <w:bCs w:val="0"/>
          <w:snapToGrid/>
          <w:color w:val="auto"/>
          <w:kern w:val="2"/>
          <w:sz w:val="30"/>
          <w:szCs w:val="30"/>
          <w:highlight w:val="none"/>
          <w:lang w:val="en-US" w:eastAsia="zh-CN" w:bidi="ar-SA"/>
        </w:rPr>
        <w:t>有助于深入打好污染防治攻坚战，推动五常市生态环境质量优势更加明显。有效提升生活垃圾收运和污水处理能力，进一步保障城乡居民饮水安全，全面提升生态环境质量和水平。增强生态环境质量监测监管能力，提高突发环境事件应急能力，加快推动全市环境治理体系和治理能力现代化建设。</w:t>
      </w:r>
    </w:p>
    <w:p w14:paraId="4686BB4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2" w:firstLineChars="200"/>
        <w:jc w:val="both"/>
        <w:textAlignment w:val="baseline"/>
        <w:rPr>
          <w:rFonts w:hint="eastAsia" w:ascii="Times New Roman" w:hAnsi="Times New Roman" w:eastAsia="仿宋_GB2312" w:cs="Times New Roman"/>
          <w:b w:val="0"/>
          <w:bCs w:val="0"/>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生物多样性保护、生态服务功能增强。</w:t>
      </w:r>
      <w:r>
        <w:rPr>
          <w:rFonts w:hint="eastAsia" w:ascii="Times New Roman" w:hAnsi="Times New Roman" w:eastAsia="仿宋_GB2312" w:cs="Times New Roman"/>
          <w:b w:val="0"/>
          <w:bCs w:val="0"/>
          <w:snapToGrid/>
          <w:color w:val="auto"/>
          <w:kern w:val="2"/>
          <w:sz w:val="30"/>
          <w:szCs w:val="30"/>
          <w:highlight w:val="none"/>
          <w:lang w:val="en-US" w:eastAsia="zh-CN" w:bidi="ar-SA"/>
        </w:rPr>
        <w:t>强化生态和环境统筹协调和监督管理，统筹推进国土空间保护、开发、利用、修复，确保生态保护红线面积不减少、性质不改变、功能不降低，促进生物多样性得到有效保护，生态系统多样性、稳定性、持续性提升，进一步筑牢东北地区重要生态安全屏障。</w:t>
      </w:r>
    </w:p>
    <w:p w14:paraId="596DA4DB">
      <w:pPr>
        <w:pStyle w:val="4"/>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napToGrid/>
          <w:kern w:val="2"/>
          <w:sz w:val="30"/>
          <w:szCs w:val="30"/>
          <w:highlight w:val="none"/>
          <w:lang w:val="en-US" w:eastAsia="zh-CN"/>
        </w:rPr>
      </w:pPr>
      <w:bookmarkStart w:id="114" w:name="_Toc30496"/>
      <w:bookmarkStart w:id="115" w:name="_Toc27294"/>
      <w:bookmarkStart w:id="116" w:name="_Toc13946"/>
      <w:r>
        <w:rPr>
          <w:rFonts w:hint="eastAsia" w:ascii="仿宋_GB2312" w:hAnsi="仿宋_GB2312" w:eastAsia="仿宋_GB2312" w:cs="仿宋_GB2312"/>
          <w:snapToGrid/>
          <w:kern w:val="2"/>
          <w:sz w:val="30"/>
          <w:szCs w:val="30"/>
          <w:highlight w:val="none"/>
          <w:lang w:val="en-US" w:eastAsia="zh-CN"/>
        </w:rPr>
        <w:t>2.经济效益分析</w:t>
      </w:r>
      <w:bookmarkEnd w:id="114"/>
      <w:bookmarkEnd w:id="115"/>
      <w:bookmarkEnd w:id="116"/>
    </w:p>
    <w:p w14:paraId="199312DD">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2" w:firstLineChars="200"/>
        <w:jc w:val="both"/>
        <w:textAlignment w:val="baseline"/>
        <w:rPr>
          <w:rFonts w:hint="eastAsia" w:ascii="Times New Roman" w:hAnsi="Times New Roman" w:eastAsia="仿宋_GB2312" w:cs="Times New Roman"/>
          <w:b/>
          <w:bCs/>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推动节能减排降碳。</w:t>
      </w:r>
      <w:r>
        <w:rPr>
          <w:rFonts w:hint="eastAsia" w:ascii="Times New Roman" w:hAnsi="Times New Roman" w:eastAsia="仿宋_GB2312" w:cs="Times New Roman"/>
          <w:snapToGrid/>
          <w:color w:val="auto"/>
          <w:kern w:val="2"/>
          <w:sz w:val="30"/>
          <w:szCs w:val="30"/>
          <w:highlight w:val="none"/>
          <w:lang w:val="en-US" w:eastAsia="zh-CN" w:bidi="ar-SA"/>
        </w:rPr>
        <w:t>有助于不断健全绿色低碳循环经济发展的经济体系，推动产业结构持续优化升级、能源绿色转型步伐加快，培育绿色低碳新动能，促进工业企业节能降碳绿色发展，实现能耗双控向碳排放总量和强度双控转变，加快经济社会发展全面绿色转型。</w:t>
      </w:r>
    </w:p>
    <w:p w14:paraId="2DA2F929">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提升资源节约集约利用。</w:t>
      </w:r>
      <w:r>
        <w:rPr>
          <w:rFonts w:hint="eastAsia" w:ascii="Times New Roman" w:hAnsi="Times New Roman" w:eastAsia="仿宋_GB2312" w:cs="Times New Roman"/>
          <w:snapToGrid/>
          <w:color w:val="auto"/>
          <w:kern w:val="2"/>
          <w:sz w:val="30"/>
          <w:szCs w:val="30"/>
          <w:highlight w:val="none"/>
          <w:lang w:val="en-US" w:eastAsia="zh-CN" w:bidi="ar-SA"/>
        </w:rPr>
        <w:t>有助于促进资源合理配置和可持续利用，大幅提升资源循环利用率，提升一般工业固体废物综合利用水平，强化危险废物监管和处置能力建设，推动生活垃圾、餐厨垃圾、资源化利用，实现建筑垃圾减量化、资源化、无害化利用。</w:t>
      </w:r>
    </w:p>
    <w:p w14:paraId="6B943944">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促进生态产业发展。</w:t>
      </w:r>
      <w:r>
        <w:rPr>
          <w:rFonts w:hint="eastAsia" w:ascii="Times New Roman" w:hAnsi="Times New Roman" w:eastAsia="仿宋_GB2312" w:cs="Times New Roman"/>
          <w:snapToGrid/>
          <w:color w:val="auto"/>
          <w:kern w:val="2"/>
          <w:sz w:val="30"/>
          <w:szCs w:val="30"/>
          <w:highlight w:val="none"/>
          <w:lang w:val="en-US" w:eastAsia="zh-CN" w:bidi="ar-SA"/>
        </w:rPr>
        <w:t>生态价值高质转化，提升产业链和价值链生态化水平，推动现代服务业由功能配套向特色品牌塑造转变，激发全域旅游发展新态势，推动生态红利得到充分释放，有效带动人民群众收入增加。</w:t>
      </w:r>
    </w:p>
    <w:p w14:paraId="2E1AB601">
      <w:pPr>
        <w:pStyle w:val="4"/>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napToGrid/>
          <w:kern w:val="2"/>
          <w:sz w:val="30"/>
          <w:szCs w:val="30"/>
          <w:highlight w:val="none"/>
          <w:lang w:val="en-US" w:eastAsia="zh-CN"/>
        </w:rPr>
      </w:pPr>
      <w:bookmarkStart w:id="117" w:name="_Toc4995"/>
      <w:bookmarkStart w:id="118" w:name="_Toc5437"/>
      <w:bookmarkStart w:id="119" w:name="_Toc16281"/>
      <w:r>
        <w:rPr>
          <w:rFonts w:hint="eastAsia" w:ascii="仿宋_GB2312" w:hAnsi="仿宋_GB2312" w:eastAsia="仿宋_GB2312" w:cs="仿宋_GB2312"/>
          <w:snapToGrid/>
          <w:kern w:val="2"/>
          <w:sz w:val="30"/>
          <w:szCs w:val="30"/>
          <w:highlight w:val="none"/>
          <w:lang w:val="en-US" w:eastAsia="zh-CN"/>
        </w:rPr>
        <w:t>3.社会效益分析</w:t>
      </w:r>
      <w:bookmarkEnd w:id="117"/>
      <w:bookmarkEnd w:id="118"/>
      <w:bookmarkEnd w:id="119"/>
    </w:p>
    <w:p w14:paraId="3FE727E9">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改善城乡人居环境。</w:t>
      </w:r>
      <w:r>
        <w:rPr>
          <w:rFonts w:hint="eastAsia" w:ascii="Times New Roman" w:hAnsi="Times New Roman" w:eastAsia="仿宋_GB2312" w:cs="Times New Roman"/>
          <w:snapToGrid/>
          <w:color w:val="auto"/>
          <w:kern w:val="2"/>
          <w:sz w:val="30"/>
          <w:szCs w:val="30"/>
          <w:highlight w:val="none"/>
          <w:lang w:val="en-US" w:eastAsia="zh-CN" w:bidi="ar-SA"/>
        </w:rPr>
        <w:t>优化全市生产生活生态空间，完善社会服务设施和基础设施，改善城乡人居环境和解决生态环境风险等重要民生问题，逐步形成生态功能完善、环境优美的生态景观，全面提升城乡居民的生活水平和生活质量。</w:t>
      </w:r>
    </w:p>
    <w:p w14:paraId="3C0C286F">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普及生态环保意识。</w:t>
      </w:r>
      <w:r>
        <w:rPr>
          <w:rFonts w:hint="eastAsia" w:ascii="Times New Roman" w:hAnsi="Times New Roman" w:eastAsia="仿宋_GB2312" w:cs="Times New Roman"/>
          <w:snapToGrid/>
          <w:color w:val="auto"/>
          <w:kern w:val="2"/>
          <w:sz w:val="30"/>
          <w:szCs w:val="30"/>
          <w:highlight w:val="none"/>
          <w:lang w:val="en-US" w:eastAsia="zh-CN" w:bidi="ar-SA"/>
        </w:rPr>
        <w:t>树立资源节约的思想和环境保护的意识，推动传统文化与现代生态文明有机结合，大力繁荣发展生态文化，提高全民生态文明素养，加快建设资源节约型、环境友好型社会，推动形成绿色消费和低碳生活方式。</w:t>
      </w:r>
    </w:p>
    <w:p w14:paraId="3703EB2C">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2"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b/>
          <w:bCs/>
          <w:snapToGrid/>
          <w:color w:val="auto"/>
          <w:kern w:val="2"/>
          <w:sz w:val="30"/>
          <w:szCs w:val="30"/>
          <w:highlight w:val="none"/>
          <w:lang w:val="en-US" w:eastAsia="zh-CN" w:bidi="ar-SA"/>
        </w:rPr>
        <w:t>提升公众生态环境满意度。</w:t>
      </w:r>
      <w:r>
        <w:rPr>
          <w:rFonts w:hint="eastAsia" w:ascii="Times New Roman" w:hAnsi="Times New Roman" w:eastAsia="仿宋_GB2312" w:cs="Times New Roman"/>
          <w:b w:val="0"/>
          <w:bCs w:val="0"/>
          <w:snapToGrid/>
          <w:color w:val="auto"/>
          <w:kern w:val="2"/>
          <w:sz w:val="30"/>
          <w:szCs w:val="30"/>
          <w:highlight w:val="none"/>
          <w:lang w:val="en-US" w:eastAsia="zh-CN" w:bidi="ar-SA"/>
        </w:rPr>
        <w:t>公众对生存环境的安全状况得到认可，提高对生存环境的爱护，提升人民群众幸福感和获得感，</w:t>
      </w:r>
      <w:r>
        <w:rPr>
          <w:rFonts w:hint="eastAsia" w:ascii="Times New Roman" w:hAnsi="Times New Roman" w:eastAsia="仿宋_GB2312" w:cs="Times New Roman"/>
          <w:snapToGrid/>
          <w:color w:val="auto"/>
          <w:kern w:val="2"/>
          <w:sz w:val="30"/>
          <w:szCs w:val="30"/>
          <w:highlight w:val="none"/>
          <w:lang w:val="en-US" w:eastAsia="zh-CN" w:bidi="ar-SA"/>
        </w:rPr>
        <w:t>充分调动人民群众建设清洁家园的积极性和主动性，</w:t>
      </w:r>
      <w:r>
        <w:rPr>
          <w:rFonts w:hint="eastAsia" w:ascii="Times New Roman" w:hAnsi="Times New Roman" w:eastAsia="仿宋_GB2312" w:cs="Times New Roman"/>
          <w:b w:val="0"/>
          <w:bCs w:val="0"/>
          <w:snapToGrid/>
          <w:color w:val="auto"/>
          <w:kern w:val="2"/>
          <w:sz w:val="30"/>
          <w:szCs w:val="30"/>
          <w:highlight w:val="none"/>
          <w:lang w:val="en-US" w:eastAsia="zh-CN" w:bidi="ar-SA"/>
        </w:rPr>
        <w:t>把对美好生态环境的向往转化为行动自觉，促进社会安定有序。</w:t>
      </w:r>
    </w:p>
    <w:p w14:paraId="02E40F50">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cstheme="minorBidi"/>
          <w:snapToGrid/>
          <w:color w:val="auto"/>
          <w:szCs w:val="24"/>
          <w:highlight w:val="none"/>
          <w:lang w:eastAsia="zh-CN"/>
        </w:rPr>
      </w:pPr>
      <w:bookmarkStart w:id="120" w:name="_Toc16332"/>
      <w:bookmarkStart w:id="121" w:name="_Toc1657"/>
      <w:bookmarkStart w:id="122" w:name="_Toc31544"/>
      <w:r>
        <w:rPr>
          <w:rFonts w:hint="eastAsia" w:cstheme="minorBidi"/>
          <w:snapToGrid/>
          <w:color w:val="auto"/>
          <w:szCs w:val="24"/>
          <w:highlight w:val="none"/>
          <w:lang w:val="en-US" w:eastAsia="zh-CN"/>
        </w:rPr>
        <w:t>五、</w:t>
      </w:r>
      <w:r>
        <w:rPr>
          <w:rFonts w:hint="eastAsia" w:cstheme="minorBidi"/>
          <w:snapToGrid/>
          <w:color w:val="auto"/>
          <w:szCs w:val="24"/>
          <w:highlight w:val="none"/>
          <w:lang w:eastAsia="zh-CN"/>
        </w:rPr>
        <w:t>保障措施</w:t>
      </w:r>
      <w:bookmarkEnd w:id="120"/>
      <w:bookmarkEnd w:id="121"/>
      <w:bookmarkEnd w:id="122"/>
    </w:p>
    <w:p w14:paraId="5EC7A28E">
      <w:pPr>
        <w:pStyle w:val="3"/>
        <w:keepNext w:val="0"/>
        <w:keepLines w:val="0"/>
        <w:pageBreakBefore w:val="0"/>
        <w:widowControl w:val="0"/>
        <w:numPr>
          <w:ilvl w:val="0"/>
          <w:numId w:val="17"/>
        </w:numPr>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Cs w:val="24"/>
          <w:highlight w:val="none"/>
          <w:lang w:eastAsia="zh-CN"/>
        </w:rPr>
      </w:pPr>
      <w:bookmarkStart w:id="123" w:name="_Toc6749"/>
      <w:bookmarkStart w:id="124" w:name="_Toc23892"/>
      <w:bookmarkStart w:id="125" w:name="_Toc7830"/>
      <w:r>
        <w:rPr>
          <w:rFonts w:hint="eastAsia" w:ascii="方正楷体_GB2312" w:hAnsi="方正楷体_GB2312" w:eastAsia="方正楷体_GB2312" w:cs="方正楷体_GB2312"/>
          <w:b/>
          <w:bCs/>
          <w:snapToGrid/>
          <w:kern w:val="2"/>
          <w:szCs w:val="24"/>
          <w:highlight w:val="none"/>
          <w:lang w:eastAsia="zh-CN"/>
        </w:rPr>
        <w:t>组织领导</w:t>
      </w:r>
      <w:bookmarkEnd w:id="123"/>
      <w:bookmarkEnd w:id="124"/>
      <w:bookmarkEnd w:id="125"/>
    </w:p>
    <w:p w14:paraId="51FCAF80">
      <w:pPr>
        <w:pStyle w:val="11"/>
        <w:spacing w:before="234" w:line="369" w:lineRule="auto"/>
        <w:ind w:right="7" w:firstLine="600" w:firstLineChars="200"/>
        <w:jc w:val="both"/>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snapToGrid/>
          <w:color w:val="auto"/>
          <w:kern w:val="2"/>
          <w:sz w:val="30"/>
          <w:szCs w:val="30"/>
          <w:highlight w:val="none"/>
          <w:lang w:val="en-US" w:eastAsia="zh-CN" w:bidi="ar-SA"/>
        </w:rPr>
        <w:t>成立五常市国家生态文明建设示范区创建工作领导小组，负责生态文明示范区创建工作的组织、协调和推进。加强生态文明建设顶层设计、全面指导和总体协调，对重大事项进行统筹协调、统一部署、科学决策，促进部门联动形成工作合力。统筹重大项目资金筹措，切实推动重大项目落地实施。严格落实“一岗双责、党政同责”，把五常市生态文明示范区创建任务纳入行政首长目标责任制，各级政府和有关部门“一把手”亲自抓、负总责，真正担负起生态文明建设的主体责任。各乡镇安排固定机构和人员负责示范区创建工作，有关部门应明确分管领导和具体工作负责同志，形成分级管理、部门协调、上下联动、良性互动的工作局面。</w:t>
      </w:r>
    </w:p>
    <w:p w14:paraId="6BBACC89">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 w:val="30"/>
          <w:szCs w:val="30"/>
          <w:highlight w:val="none"/>
          <w:lang w:eastAsia="zh-CN"/>
        </w:rPr>
      </w:pPr>
      <w:bookmarkStart w:id="126" w:name="_Toc5489"/>
      <w:bookmarkStart w:id="127" w:name="_Toc27212"/>
      <w:bookmarkStart w:id="128" w:name="_Toc284"/>
      <w:r>
        <w:rPr>
          <w:rFonts w:hint="eastAsia" w:ascii="方正楷体_GB2312" w:hAnsi="方正楷体_GB2312" w:eastAsia="方正楷体_GB2312" w:cs="方正楷体_GB2312"/>
          <w:b/>
          <w:bCs/>
          <w:snapToGrid/>
          <w:kern w:val="2"/>
          <w:sz w:val="30"/>
          <w:szCs w:val="30"/>
          <w:highlight w:val="none"/>
          <w:lang w:eastAsia="zh-CN"/>
        </w:rPr>
        <w:t>（二）监督考核</w:t>
      </w:r>
      <w:bookmarkEnd w:id="126"/>
      <w:bookmarkEnd w:id="127"/>
      <w:bookmarkEnd w:id="128"/>
    </w:p>
    <w:p w14:paraId="67E87025">
      <w:pPr>
        <w:pStyle w:val="11"/>
        <w:spacing w:before="234" w:line="369" w:lineRule="auto"/>
        <w:ind w:right="7" w:firstLine="600" w:firstLineChars="200"/>
        <w:jc w:val="both"/>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snapToGrid/>
          <w:color w:val="auto"/>
          <w:kern w:val="2"/>
          <w:sz w:val="30"/>
          <w:szCs w:val="30"/>
          <w:highlight w:val="none"/>
          <w:lang w:val="en-US" w:eastAsia="zh-Hans" w:bidi="ar-SA"/>
        </w:rPr>
        <w:t>依据《</w:t>
      </w:r>
      <w:r>
        <w:rPr>
          <w:rFonts w:hint="eastAsia" w:ascii="Times New Roman" w:hAnsi="Times New Roman" w:eastAsia="仿宋_GB2312" w:cs="Times New Roman"/>
          <w:snapToGrid/>
          <w:color w:val="auto"/>
          <w:kern w:val="2"/>
          <w:sz w:val="30"/>
          <w:szCs w:val="30"/>
          <w:highlight w:val="none"/>
          <w:lang w:val="en-US" w:eastAsia="zh-CN" w:bidi="ar-SA"/>
        </w:rPr>
        <w:t>五常市</w:t>
      </w:r>
      <w:r>
        <w:rPr>
          <w:rFonts w:hint="eastAsia" w:ascii="Times New Roman" w:hAnsi="Times New Roman" w:eastAsia="仿宋_GB2312" w:cs="Times New Roman"/>
          <w:snapToGrid/>
          <w:color w:val="auto"/>
          <w:kern w:val="2"/>
          <w:sz w:val="30"/>
          <w:szCs w:val="30"/>
          <w:highlight w:val="none"/>
          <w:lang w:val="en-US" w:eastAsia="zh-Hans" w:bidi="ar-SA"/>
        </w:rPr>
        <w:t>生态文明建设示范区规划（202</w:t>
      </w:r>
      <w:r>
        <w:rPr>
          <w:rFonts w:hint="eastAsia" w:ascii="Times New Roman" w:hAnsi="Times New Roman" w:eastAsia="仿宋_GB2312" w:cs="Times New Roman"/>
          <w:snapToGrid/>
          <w:color w:val="auto"/>
          <w:kern w:val="2"/>
          <w:sz w:val="30"/>
          <w:szCs w:val="30"/>
          <w:highlight w:val="none"/>
          <w:lang w:val="en-US" w:eastAsia="zh-CN" w:bidi="ar-SA"/>
        </w:rPr>
        <w:t>4—</w:t>
      </w:r>
      <w:r>
        <w:rPr>
          <w:rFonts w:hint="eastAsia" w:ascii="Times New Roman" w:hAnsi="Times New Roman" w:eastAsia="仿宋_GB2312" w:cs="Times New Roman"/>
          <w:snapToGrid/>
          <w:color w:val="auto"/>
          <w:kern w:val="2"/>
          <w:sz w:val="30"/>
          <w:szCs w:val="30"/>
          <w:highlight w:val="none"/>
          <w:lang w:val="en-US" w:eastAsia="zh-Hans" w:bidi="ar-SA"/>
        </w:rPr>
        <w:t>203</w:t>
      </w:r>
      <w:r>
        <w:rPr>
          <w:rFonts w:hint="eastAsia" w:ascii="Times New Roman" w:hAnsi="Times New Roman" w:eastAsia="仿宋_GB2312" w:cs="Times New Roman"/>
          <w:snapToGrid/>
          <w:color w:val="auto"/>
          <w:kern w:val="2"/>
          <w:sz w:val="30"/>
          <w:szCs w:val="30"/>
          <w:highlight w:val="none"/>
          <w:lang w:val="en-US" w:eastAsia="zh-CN" w:bidi="ar-SA"/>
        </w:rPr>
        <w:t>0</w:t>
      </w:r>
      <w:r>
        <w:rPr>
          <w:rFonts w:hint="eastAsia" w:ascii="Times New Roman" w:hAnsi="Times New Roman" w:eastAsia="仿宋_GB2312" w:cs="Times New Roman"/>
          <w:snapToGrid/>
          <w:color w:val="auto"/>
          <w:kern w:val="2"/>
          <w:sz w:val="30"/>
          <w:szCs w:val="30"/>
          <w:highlight w:val="none"/>
          <w:lang w:val="en-US" w:eastAsia="zh-Hans" w:bidi="ar-SA"/>
        </w:rPr>
        <w:t>年）》，把生态文明建设各项任务纳入部门年度工作计划，确保规划目标任务如期、保质完成。定期对全</w:t>
      </w:r>
      <w:r>
        <w:rPr>
          <w:rFonts w:hint="eastAsia" w:ascii="Times New Roman" w:hAnsi="Times New Roman" w:eastAsia="仿宋_GB2312" w:cs="Times New Roman"/>
          <w:snapToGrid/>
          <w:color w:val="auto"/>
          <w:kern w:val="2"/>
          <w:sz w:val="30"/>
          <w:szCs w:val="30"/>
          <w:highlight w:val="none"/>
          <w:lang w:val="en-US" w:eastAsia="zh-CN" w:bidi="ar-SA"/>
        </w:rPr>
        <w:t>市</w:t>
      </w:r>
      <w:r>
        <w:rPr>
          <w:rFonts w:hint="eastAsia" w:ascii="Times New Roman" w:hAnsi="Times New Roman" w:eastAsia="仿宋_GB2312" w:cs="Times New Roman"/>
          <w:snapToGrid/>
          <w:color w:val="auto"/>
          <w:kern w:val="2"/>
          <w:sz w:val="30"/>
          <w:szCs w:val="30"/>
          <w:highlight w:val="none"/>
          <w:lang w:val="en-US" w:eastAsia="zh-Hans" w:bidi="ar-SA"/>
        </w:rPr>
        <w:t>生态文明建设各项工作落实情况进行监督检查，紧抓关键环节和重要时间节点，不折不扣落实创建工作年度目标和任务，确保各项工作任务有序有效推进。定期通报生态文明建设进展情况，建立问题整改</w:t>
      </w:r>
      <w:r>
        <w:rPr>
          <w:rFonts w:hint="eastAsia" w:ascii="Times New Roman" w:hAnsi="Times New Roman" w:eastAsia="仿宋_GB2312" w:cs="Times New Roman"/>
          <w:snapToGrid/>
          <w:color w:val="auto"/>
          <w:kern w:val="2"/>
          <w:sz w:val="30"/>
          <w:szCs w:val="30"/>
          <w:highlight w:val="none"/>
          <w:lang w:val="en-US" w:eastAsia="zh-CN" w:bidi="ar-SA"/>
        </w:rPr>
        <w:t>台账</w:t>
      </w:r>
      <w:r>
        <w:rPr>
          <w:rFonts w:hint="eastAsia" w:ascii="Times New Roman" w:hAnsi="Times New Roman" w:eastAsia="仿宋_GB2312" w:cs="Times New Roman"/>
          <w:snapToGrid/>
          <w:color w:val="auto"/>
          <w:kern w:val="2"/>
          <w:sz w:val="30"/>
          <w:szCs w:val="30"/>
          <w:highlight w:val="none"/>
          <w:lang w:val="en-US" w:eastAsia="zh-Hans" w:bidi="ar-SA"/>
        </w:rPr>
        <w:t>，督促抓好问题整改落实。落实生态文明建设目标评价考核办法，健全考核奖惩激励机制，完善容错纠错机制；注重抓重点、抓亮点，选树先进典型，推广成功经验。持续跟踪生态文明示范区创建工作要求，及时与新要求保持一致，不断提升生态文明建设工作的科学化、制度化和规范化水平。</w:t>
      </w:r>
    </w:p>
    <w:p w14:paraId="1BDF4B4E">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方正楷体_GB2312" w:hAnsi="方正楷体_GB2312" w:eastAsia="方正楷体_GB2312" w:cs="方正楷体_GB2312"/>
          <w:b/>
          <w:bCs/>
          <w:snapToGrid/>
          <w:kern w:val="2"/>
          <w:sz w:val="30"/>
          <w:szCs w:val="30"/>
          <w:highlight w:val="none"/>
          <w:lang w:val="en-US" w:eastAsia="zh-CN"/>
        </w:rPr>
      </w:pPr>
      <w:bookmarkStart w:id="129" w:name="_Toc31926"/>
      <w:bookmarkStart w:id="130" w:name="_Toc6651"/>
      <w:bookmarkStart w:id="131" w:name="_Toc4848"/>
      <w:r>
        <w:rPr>
          <w:rFonts w:hint="eastAsia" w:ascii="方正楷体_GB2312" w:hAnsi="方正楷体_GB2312" w:eastAsia="方正楷体_GB2312" w:cs="方正楷体_GB2312"/>
          <w:b/>
          <w:bCs/>
          <w:snapToGrid/>
          <w:kern w:val="2"/>
          <w:sz w:val="30"/>
          <w:szCs w:val="30"/>
          <w:highlight w:val="none"/>
          <w:lang w:eastAsia="zh-CN"/>
        </w:rPr>
        <w:t>（三）</w:t>
      </w:r>
      <w:r>
        <w:rPr>
          <w:rFonts w:hint="eastAsia" w:ascii="方正楷体_GB2312" w:hAnsi="方正楷体_GB2312" w:eastAsia="方正楷体_GB2312" w:cs="方正楷体_GB2312"/>
          <w:b/>
          <w:bCs/>
          <w:snapToGrid/>
          <w:kern w:val="2"/>
          <w:sz w:val="30"/>
          <w:szCs w:val="30"/>
          <w:highlight w:val="none"/>
          <w:lang w:val="en-US" w:eastAsia="zh-CN"/>
        </w:rPr>
        <w:t>制度建设</w:t>
      </w:r>
      <w:bookmarkEnd w:id="129"/>
    </w:p>
    <w:p w14:paraId="1631E20A">
      <w:pPr>
        <w:pStyle w:val="11"/>
        <w:keepNext w:val="0"/>
        <w:keepLines w:val="0"/>
        <w:pageBreakBefore w:val="0"/>
        <w:widowControl w:val="0"/>
        <w:kinsoku/>
        <w:wordWrap/>
        <w:overflowPunct/>
        <w:topLinePunct w:val="0"/>
        <w:autoSpaceDE/>
        <w:autoSpaceDN/>
        <w:bidi w:val="0"/>
        <w:adjustRightInd/>
        <w:snapToGrid/>
        <w:spacing w:before="234" w:line="369" w:lineRule="auto"/>
        <w:ind w:right="7" w:firstLine="600" w:firstLineChars="200"/>
        <w:jc w:val="both"/>
        <w:textAlignment w:val="auto"/>
        <w:rPr>
          <w:rFonts w:hint="eastAsia" w:ascii="Times New Roman" w:hAnsi="Times New Roman" w:eastAsia="仿宋_GB2312" w:cs="Times New Roman"/>
          <w:b w:val="0"/>
          <w:bCs w:val="0"/>
          <w:snapToGrid/>
          <w:color w:val="auto"/>
          <w:kern w:val="2"/>
          <w:sz w:val="30"/>
          <w:szCs w:val="30"/>
          <w:highlight w:val="none"/>
          <w:lang w:eastAsia="zh-Hans"/>
        </w:rPr>
      </w:pPr>
      <w:r>
        <w:rPr>
          <w:rFonts w:hint="eastAsia" w:ascii="Times New Roman" w:hAnsi="Times New Roman" w:eastAsia="仿宋_GB2312" w:cs="Times New Roman"/>
          <w:b w:val="0"/>
          <w:bCs w:val="0"/>
          <w:snapToGrid/>
          <w:color w:val="auto"/>
          <w:kern w:val="2"/>
          <w:sz w:val="30"/>
          <w:szCs w:val="30"/>
          <w:highlight w:val="none"/>
          <w:lang w:val="en-US" w:eastAsia="zh-CN"/>
        </w:rPr>
        <w:t>聚焦党的二十届三中全会关于深化生态文明体制改革任务的重点方向，出台相关实施方案等规范性文件，</w:t>
      </w:r>
      <w:r>
        <w:rPr>
          <w:rFonts w:hint="eastAsia" w:ascii="Times New Roman" w:hAnsi="Times New Roman" w:eastAsia="仿宋_GB2312" w:cs="Times New Roman"/>
          <w:b w:val="0"/>
          <w:bCs w:val="0"/>
          <w:snapToGrid/>
          <w:color w:val="auto"/>
          <w:kern w:val="2"/>
          <w:sz w:val="30"/>
          <w:szCs w:val="30"/>
          <w:highlight w:val="none"/>
          <w:lang w:eastAsia="zh-Hans"/>
        </w:rPr>
        <w:t>进一步明确</w:t>
      </w:r>
      <w:r>
        <w:rPr>
          <w:rFonts w:hint="eastAsia" w:ascii="Times New Roman" w:hAnsi="Times New Roman" w:eastAsia="仿宋_GB2312" w:cs="Times New Roman"/>
          <w:b w:val="0"/>
          <w:bCs w:val="0"/>
          <w:snapToGrid/>
          <w:color w:val="auto"/>
          <w:kern w:val="2"/>
          <w:sz w:val="30"/>
          <w:szCs w:val="30"/>
          <w:highlight w:val="none"/>
          <w:lang w:val="en-US" w:eastAsia="zh-CN"/>
        </w:rPr>
        <w:t>生态文明建设的</w:t>
      </w:r>
      <w:r>
        <w:rPr>
          <w:rFonts w:hint="eastAsia" w:ascii="Times New Roman" w:hAnsi="Times New Roman" w:eastAsia="仿宋_GB2312" w:cs="Times New Roman"/>
          <w:b w:val="0"/>
          <w:bCs w:val="0"/>
          <w:snapToGrid/>
          <w:color w:val="auto"/>
          <w:kern w:val="2"/>
          <w:sz w:val="30"/>
          <w:szCs w:val="30"/>
          <w:highlight w:val="none"/>
          <w:lang w:eastAsia="zh-Hans"/>
        </w:rPr>
        <w:t>监管主体责任和量化标准</w:t>
      </w:r>
      <w:r>
        <w:rPr>
          <w:rFonts w:hint="eastAsia" w:ascii="Times New Roman" w:hAnsi="Times New Roman" w:eastAsia="仿宋_GB2312" w:cs="Times New Roman"/>
          <w:b w:val="0"/>
          <w:bCs w:val="0"/>
          <w:snapToGrid/>
          <w:color w:val="auto"/>
          <w:kern w:val="2"/>
          <w:sz w:val="30"/>
          <w:szCs w:val="30"/>
          <w:highlight w:val="none"/>
          <w:lang w:val="en-US" w:eastAsia="zh-CN"/>
        </w:rPr>
        <w:t>，</w:t>
      </w:r>
      <w:r>
        <w:rPr>
          <w:rFonts w:hint="eastAsia" w:ascii="Times New Roman" w:hAnsi="Times New Roman" w:eastAsia="仿宋_GB2312" w:cs="Times New Roman"/>
          <w:b w:val="0"/>
          <w:bCs w:val="0"/>
          <w:snapToGrid/>
          <w:color w:val="auto"/>
          <w:kern w:val="2"/>
          <w:sz w:val="30"/>
          <w:szCs w:val="30"/>
          <w:highlight w:val="none"/>
          <w:lang w:eastAsia="zh-Hans"/>
        </w:rPr>
        <w:t>确保重点任务和工程项目保质保量完成。</w:t>
      </w:r>
      <w:r>
        <w:rPr>
          <w:rFonts w:hint="eastAsia" w:ascii="Times New Roman" w:hAnsi="Times New Roman" w:eastAsia="仿宋_GB2312" w:cs="Times New Roman"/>
          <w:b w:val="0"/>
          <w:bCs w:val="0"/>
          <w:snapToGrid/>
          <w:color w:val="auto"/>
          <w:kern w:val="2"/>
          <w:sz w:val="30"/>
          <w:szCs w:val="30"/>
          <w:highlight w:val="none"/>
          <w:lang w:val="en-US" w:eastAsia="zh-CN"/>
        </w:rPr>
        <w:t>加强五常市生态文明制度体系之间有效衔接，特别是生态环境保护与经济社会发展绿色转型政策取向一致性。完善五常市精准治污、科学治污、依法治污制度机制，填补现有制度建设空白或短板，如生态保护与修复统一监管体制、农村生态文明建设体制机制、环境信用监管体系、基于市场的生态环境保护政策体系建设等，加快推进五常市生态环境治理责任体系、监管体系、市场体系、法律法规政策体系建设，为</w:t>
      </w:r>
      <w:r>
        <w:rPr>
          <w:rFonts w:hint="eastAsia" w:ascii="Times New Roman" w:hAnsi="Times New Roman" w:eastAsia="仿宋_GB2312" w:cs="Times New Roman"/>
          <w:b w:val="0"/>
          <w:bCs w:val="0"/>
          <w:snapToGrid/>
          <w:color w:val="auto"/>
          <w:kern w:val="2"/>
          <w:sz w:val="30"/>
          <w:szCs w:val="30"/>
          <w:highlight w:val="none"/>
          <w:lang w:eastAsia="zh-Hans"/>
        </w:rPr>
        <w:t>打造生态文明示范区建设的</w:t>
      </w:r>
      <w:r>
        <w:rPr>
          <w:rFonts w:hint="eastAsia" w:ascii="Times New Roman" w:hAnsi="Times New Roman" w:eastAsia="仿宋_GB2312" w:cs="Times New Roman"/>
          <w:b w:val="0"/>
          <w:bCs w:val="0"/>
          <w:snapToGrid/>
          <w:color w:val="auto"/>
          <w:kern w:val="2"/>
          <w:sz w:val="30"/>
          <w:szCs w:val="30"/>
          <w:highlight w:val="none"/>
          <w:lang w:eastAsia="zh-CN"/>
        </w:rPr>
        <w:t>“</w:t>
      </w:r>
      <w:r>
        <w:rPr>
          <w:rFonts w:hint="eastAsia" w:ascii="Times New Roman" w:hAnsi="Times New Roman" w:eastAsia="仿宋_GB2312" w:cs="Times New Roman"/>
          <w:b w:val="0"/>
          <w:bCs w:val="0"/>
          <w:snapToGrid/>
          <w:color w:val="auto"/>
          <w:kern w:val="2"/>
          <w:sz w:val="30"/>
          <w:szCs w:val="30"/>
          <w:highlight w:val="none"/>
          <w:lang w:eastAsia="zh-Hans"/>
        </w:rPr>
        <w:t>五常样板</w:t>
      </w:r>
      <w:r>
        <w:rPr>
          <w:rFonts w:hint="eastAsia" w:ascii="Times New Roman" w:hAnsi="Times New Roman" w:eastAsia="仿宋_GB2312" w:cs="Times New Roman"/>
          <w:b w:val="0"/>
          <w:bCs w:val="0"/>
          <w:snapToGrid/>
          <w:color w:val="auto"/>
          <w:kern w:val="2"/>
          <w:sz w:val="30"/>
          <w:szCs w:val="30"/>
          <w:highlight w:val="none"/>
          <w:lang w:eastAsia="zh-CN"/>
        </w:rPr>
        <w:t>”</w:t>
      </w:r>
      <w:r>
        <w:rPr>
          <w:rFonts w:hint="eastAsia" w:ascii="Times New Roman" w:hAnsi="Times New Roman" w:eastAsia="仿宋_GB2312" w:cs="Times New Roman"/>
          <w:b w:val="0"/>
          <w:bCs w:val="0"/>
          <w:snapToGrid/>
          <w:color w:val="auto"/>
          <w:kern w:val="2"/>
          <w:sz w:val="30"/>
          <w:szCs w:val="30"/>
          <w:highlight w:val="none"/>
          <w:lang w:eastAsia="zh-Hans"/>
        </w:rPr>
        <w:t>提供制度保障</w:t>
      </w:r>
      <w:r>
        <w:rPr>
          <w:rFonts w:hint="eastAsia" w:ascii="Times New Roman" w:hAnsi="Times New Roman" w:eastAsia="仿宋_GB2312" w:cs="Times New Roman"/>
          <w:b w:val="0"/>
          <w:bCs w:val="0"/>
          <w:snapToGrid/>
          <w:color w:val="auto"/>
          <w:kern w:val="2"/>
          <w:sz w:val="30"/>
          <w:szCs w:val="30"/>
          <w:highlight w:val="none"/>
          <w:lang w:val="en-US" w:eastAsia="zh-CN"/>
        </w:rPr>
        <w:t>。</w:t>
      </w:r>
    </w:p>
    <w:p w14:paraId="14E056C3">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 w:val="30"/>
          <w:szCs w:val="30"/>
          <w:highlight w:val="none"/>
          <w:lang w:eastAsia="zh-CN"/>
        </w:rPr>
      </w:pPr>
      <w:bookmarkStart w:id="132" w:name="_Toc1816"/>
      <w:r>
        <w:rPr>
          <w:rFonts w:hint="eastAsia" w:ascii="方正楷体_GB2312" w:hAnsi="方正楷体_GB2312" w:eastAsia="方正楷体_GB2312" w:cs="方正楷体_GB2312"/>
          <w:b/>
          <w:bCs/>
          <w:snapToGrid/>
          <w:kern w:val="2"/>
          <w:sz w:val="30"/>
          <w:szCs w:val="30"/>
          <w:highlight w:val="none"/>
          <w:lang w:eastAsia="zh-CN"/>
        </w:rPr>
        <w:t>（四）资金统筹</w:t>
      </w:r>
      <w:bookmarkEnd w:id="130"/>
      <w:bookmarkEnd w:id="131"/>
      <w:bookmarkEnd w:id="132"/>
    </w:p>
    <w:p w14:paraId="001AC880">
      <w:pPr>
        <w:pStyle w:val="11"/>
        <w:spacing w:before="234" w:line="369" w:lineRule="auto"/>
        <w:ind w:right="7" w:firstLine="600" w:firstLineChars="200"/>
        <w:jc w:val="both"/>
        <w:rPr>
          <w:rFonts w:hint="eastAsia" w:ascii="Times New Roman" w:hAnsi="Times New Roman" w:eastAsia="仿宋_GB2312" w:cs="Times New Roman"/>
          <w:snapToGrid/>
          <w:color w:val="auto"/>
          <w:kern w:val="2"/>
          <w:sz w:val="30"/>
          <w:szCs w:val="30"/>
          <w:highlight w:val="none"/>
          <w:lang w:val="en-US" w:eastAsia="zh-Hans" w:bidi="ar-SA"/>
        </w:rPr>
      </w:pPr>
      <w:r>
        <w:rPr>
          <w:rFonts w:hint="eastAsia" w:ascii="Times New Roman" w:hAnsi="Times New Roman" w:eastAsia="仿宋_GB2312" w:cs="Times New Roman"/>
          <w:snapToGrid/>
          <w:color w:val="auto"/>
          <w:kern w:val="2"/>
          <w:sz w:val="30"/>
          <w:szCs w:val="30"/>
          <w:highlight w:val="none"/>
          <w:lang w:val="en-US" w:eastAsia="zh-Hans" w:bidi="ar-SA"/>
        </w:rPr>
        <w:t>建立健全“政府引导、企业为主、社会参与”的资金保障机制，将生态文明建设纳入财政预算统一管理，各部门积极</w:t>
      </w:r>
      <w:r>
        <w:rPr>
          <w:rFonts w:hint="eastAsia" w:ascii="Times New Roman" w:hAnsi="Times New Roman" w:eastAsia="仿宋_GB2312" w:cs="Times New Roman"/>
          <w:snapToGrid/>
          <w:color w:val="auto"/>
          <w:kern w:val="2"/>
          <w:sz w:val="30"/>
          <w:szCs w:val="30"/>
          <w:highlight w:val="none"/>
          <w:lang w:val="en-US" w:eastAsia="zh-CN" w:bidi="ar-SA"/>
        </w:rPr>
        <w:t>争取国家级、省级各类</w:t>
      </w:r>
      <w:r>
        <w:rPr>
          <w:rFonts w:hint="eastAsia" w:ascii="Times New Roman" w:hAnsi="Times New Roman" w:eastAsia="仿宋_GB2312" w:cs="Times New Roman"/>
          <w:snapToGrid/>
          <w:color w:val="auto"/>
          <w:kern w:val="2"/>
          <w:sz w:val="30"/>
          <w:szCs w:val="30"/>
          <w:highlight w:val="none"/>
          <w:lang w:val="en-US" w:eastAsia="zh-Hans" w:bidi="ar-SA"/>
        </w:rPr>
        <w:t>专项资金。</w:t>
      </w:r>
      <w:r>
        <w:rPr>
          <w:rFonts w:hint="eastAsia" w:ascii="Times New Roman" w:hAnsi="Times New Roman" w:eastAsia="仿宋_GB2312" w:cs="Times New Roman"/>
          <w:snapToGrid/>
          <w:color w:val="auto"/>
          <w:kern w:val="2"/>
          <w:sz w:val="30"/>
          <w:szCs w:val="30"/>
          <w:highlight w:val="none"/>
          <w:lang w:val="en-US" w:eastAsia="zh-CN" w:bidi="ar-SA"/>
        </w:rPr>
        <w:t>如中央和黑龙江水污染防治资金、生态补偿资金、自然保护区建设专项资金、农村环保专项资金等专项资金，争取中央和黑龙江转移支付、生态补偿试点等。</w:t>
      </w:r>
      <w:r>
        <w:rPr>
          <w:rFonts w:hint="eastAsia" w:ascii="Times New Roman" w:hAnsi="Times New Roman" w:eastAsia="仿宋_GB2312" w:cs="Times New Roman"/>
          <w:snapToGrid/>
          <w:color w:val="auto"/>
          <w:kern w:val="2"/>
          <w:sz w:val="30"/>
          <w:szCs w:val="30"/>
          <w:highlight w:val="none"/>
          <w:lang w:val="en-US" w:eastAsia="zh-Hans" w:bidi="ar-SA"/>
        </w:rPr>
        <w:t>完善资金</w:t>
      </w:r>
      <w:r>
        <w:rPr>
          <w:rFonts w:hint="eastAsia" w:ascii="Times New Roman" w:hAnsi="Times New Roman" w:eastAsia="仿宋_GB2312" w:cs="Times New Roman"/>
          <w:snapToGrid/>
          <w:color w:val="auto"/>
          <w:kern w:val="2"/>
          <w:sz w:val="30"/>
          <w:szCs w:val="30"/>
          <w:highlight w:val="none"/>
          <w:lang w:val="en-US" w:eastAsia="zh-CN" w:bidi="ar-SA"/>
        </w:rPr>
        <w:t>监管</w:t>
      </w:r>
      <w:r>
        <w:rPr>
          <w:rFonts w:hint="eastAsia" w:ascii="Times New Roman" w:hAnsi="Times New Roman" w:eastAsia="仿宋_GB2312" w:cs="Times New Roman"/>
          <w:snapToGrid/>
          <w:color w:val="auto"/>
          <w:kern w:val="2"/>
          <w:sz w:val="30"/>
          <w:szCs w:val="30"/>
          <w:highlight w:val="none"/>
          <w:lang w:val="en-US" w:eastAsia="zh-Hans" w:bidi="ar-SA"/>
        </w:rPr>
        <w:t>制度，</w:t>
      </w:r>
      <w:r>
        <w:rPr>
          <w:rFonts w:hint="eastAsia" w:ascii="Times New Roman" w:hAnsi="Times New Roman" w:eastAsia="仿宋_GB2312" w:cs="Times New Roman"/>
          <w:snapToGrid/>
          <w:color w:val="auto"/>
          <w:kern w:val="2"/>
          <w:sz w:val="30"/>
          <w:szCs w:val="30"/>
          <w:highlight w:val="none"/>
          <w:lang w:val="en-US" w:eastAsia="zh-CN" w:bidi="ar-SA"/>
        </w:rPr>
        <w:t>切实提高资金使用效率</w:t>
      </w:r>
      <w:r>
        <w:rPr>
          <w:rFonts w:hint="eastAsia" w:ascii="Times New Roman" w:hAnsi="Times New Roman" w:eastAsia="仿宋_GB2312" w:cs="Times New Roman"/>
          <w:snapToGrid/>
          <w:color w:val="auto"/>
          <w:kern w:val="2"/>
          <w:sz w:val="30"/>
          <w:szCs w:val="30"/>
          <w:highlight w:val="none"/>
          <w:lang w:val="en-US" w:eastAsia="zh-Hans" w:bidi="ar-SA"/>
        </w:rPr>
        <w:t>。建立吸引社会资本投入生态环境保护的市场化机制，</w:t>
      </w:r>
      <w:r>
        <w:rPr>
          <w:rFonts w:hint="eastAsia" w:ascii="Times New Roman" w:hAnsi="Times New Roman" w:eastAsia="仿宋_GB2312" w:cs="Times New Roman"/>
          <w:snapToGrid/>
          <w:color w:val="auto"/>
          <w:kern w:val="2"/>
          <w:sz w:val="30"/>
          <w:szCs w:val="30"/>
          <w:highlight w:val="none"/>
          <w:lang w:val="en-US" w:eastAsia="zh-CN" w:bidi="ar-SA"/>
        </w:rPr>
        <w:t>积极申请政策性银行贷款，</w:t>
      </w:r>
      <w:r>
        <w:rPr>
          <w:rFonts w:hint="eastAsia" w:ascii="Times New Roman" w:hAnsi="Times New Roman" w:eastAsia="仿宋_GB2312" w:cs="Times New Roman"/>
          <w:snapToGrid/>
          <w:color w:val="auto"/>
          <w:kern w:val="2"/>
          <w:sz w:val="30"/>
          <w:szCs w:val="30"/>
          <w:highlight w:val="none"/>
          <w:lang w:val="en-US" w:eastAsia="zh-Hans" w:bidi="ar-SA"/>
        </w:rPr>
        <w:t>支持第三方以湿地、森林和草地补偿银行的形式参与生态系统保护与修复。加大企业污染治理投入</w:t>
      </w:r>
      <w:r>
        <w:rPr>
          <w:rFonts w:hint="eastAsia" w:ascii="Times New Roman" w:hAnsi="Times New Roman" w:eastAsia="仿宋_GB2312" w:cs="Times New Roman"/>
          <w:snapToGrid/>
          <w:color w:val="auto"/>
          <w:kern w:val="2"/>
          <w:sz w:val="30"/>
          <w:szCs w:val="30"/>
          <w:highlight w:val="none"/>
          <w:lang w:val="en-US" w:eastAsia="zh-CN" w:bidi="ar-SA"/>
        </w:rPr>
        <w:t>，持续</w:t>
      </w:r>
      <w:r>
        <w:rPr>
          <w:rFonts w:hint="eastAsia" w:ascii="Times New Roman" w:hAnsi="Times New Roman" w:eastAsia="仿宋_GB2312" w:cs="Times New Roman"/>
          <w:snapToGrid/>
          <w:color w:val="auto"/>
          <w:kern w:val="2"/>
          <w:sz w:val="30"/>
          <w:szCs w:val="30"/>
          <w:highlight w:val="none"/>
          <w:lang w:val="en-US" w:eastAsia="zh-Hans" w:bidi="ar-SA"/>
        </w:rPr>
        <w:t>完善环境设施使用和服务收费制度，将具有一定公益性质的收费，在一定期限内转化为经营性收入，加快环保设施建设与运营市场化进程。</w:t>
      </w:r>
    </w:p>
    <w:p w14:paraId="35851682">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 w:val="30"/>
          <w:szCs w:val="30"/>
          <w:highlight w:val="none"/>
          <w:lang w:eastAsia="zh-CN"/>
        </w:rPr>
      </w:pPr>
      <w:bookmarkStart w:id="133" w:name="_Toc5817"/>
      <w:bookmarkStart w:id="134" w:name="_Toc31826"/>
      <w:bookmarkStart w:id="135" w:name="_Toc11788"/>
      <w:r>
        <w:rPr>
          <w:rFonts w:hint="eastAsia" w:ascii="方正楷体_GB2312" w:hAnsi="方正楷体_GB2312" w:eastAsia="方正楷体_GB2312" w:cs="方正楷体_GB2312"/>
          <w:b/>
          <w:bCs/>
          <w:snapToGrid/>
          <w:kern w:val="2"/>
          <w:sz w:val="30"/>
          <w:szCs w:val="30"/>
          <w:highlight w:val="none"/>
          <w:lang w:eastAsia="zh-CN"/>
        </w:rPr>
        <w:t>（</w:t>
      </w:r>
      <w:r>
        <w:rPr>
          <w:rFonts w:hint="eastAsia" w:ascii="方正楷体_GB2312" w:hAnsi="方正楷体_GB2312" w:eastAsia="方正楷体_GB2312" w:cs="方正楷体_GB2312"/>
          <w:b/>
          <w:bCs/>
          <w:snapToGrid/>
          <w:kern w:val="2"/>
          <w:sz w:val="30"/>
          <w:szCs w:val="30"/>
          <w:highlight w:val="none"/>
          <w:lang w:val="en-US" w:eastAsia="zh-CN"/>
        </w:rPr>
        <w:t>五</w:t>
      </w:r>
      <w:r>
        <w:rPr>
          <w:rFonts w:hint="eastAsia" w:ascii="方正楷体_GB2312" w:hAnsi="方正楷体_GB2312" w:eastAsia="方正楷体_GB2312" w:cs="方正楷体_GB2312"/>
          <w:b/>
          <w:bCs/>
          <w:snapToGrid/>
          <w:kern w:val="2"/>
          <w:sz w:val="30"/>
          <w:szCs w:val="30"/>
          <w:highlight w:val="none"/>
          <w:lang w:eastAsia="zh-CN"/>
        </w:rPr>
        <w:t>）科技创新</w:t>
      </w:r>
      <w:bookmarkEnd w:id="133"/>
      <w:bookmarkEnd w:id="134"/>
      <w:bookmarkEnd w:id="135"/>
    </w:p>
    <w:p w14:paraId="65BEEF1C">
      <w:pPr>
        <w:pStyle w:val="11"/>
        <w:spacing w:before="234" w:line="369" w:lineRule="auto"/>
        <w:ind w:right="7" w:firstLine="600" w:firstLineChars="200"/>
        <w:jc w:val="both"/>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snapToGrid/>
          <w:color w:val="auto"/>
          <w:kern w:val="2"/>
          <w:sz w:val="30"/>
          <w:szCs w:val="30"/>
          <w:highlight w:val="none"/>
          <w:lang w:val="en-US" w:eastAsia="zh-CN" w:bidi="ar-SA"/>
        </w:rPr>
        <w:t>全面加强生态文明建设人才和科技支撑作用，重点加强生态环境保护、绿色发展、产业转型升级等方面技术培训。建立市、乡镇、村“三位一体”的生态环境信息网络平台，加强生态环境资料数据的收集和分析，实现信息资源共享和监测资料综合集成；及时跟踪区域生态环境变化趋势，不断提高生态环境动态监测和跟踪水平。在清洁生产、生态环境保护、资源综合利用与废弃物资源化、生态产业等方面，积极开发、引进和推广应用各类新技术、新工艺、新产品。加大对企业技术研发的扶持力度和高新技术企业的引进，加强机关、企业与科研院所的技术交流与合作，助力全市生态产业化和产业生态化稳步发展。</w:t>
      </w:r>
    </w:p>
    <w:p w14:paraId="5F5F0A93">
      <w:pPr>
        <w:pStyle w:val="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楷体_GB2312" w:hAnsi="方正楷体_GB2312" w:eastAsia="方正楷体_GB2312" w:cs="方正楷体_GB2312"/>
          <w:b/>
          <w:bCs/>
          <w:snapToGrid/>
          <w:kern w:val="2"/>
          <w:sz w:val="30"/>
          <w:szCs w:val="30"/>
          <w:highlight w:val="none"/>
          <w:lang w:eastAsia="zh-CN"/>
        </w:rPr>
      </w:pPr>
      <w:bookmarkStart w:id="136" w:name="_Toc32346"/>
      <w:bookmarkStart w:id="137" w:name="_Toc8376"/>
      <w:bookmarkStart w:id="138" w:name="_Toc21136"/>
      <w:r>
        <w:rPr>
          <w:rFonts w:hint="eastAsia" w:ascii="方正楷体_GB2312" w:hAnsi="方正楷体_GB2312" w:eastAsia="方正楷体_GB2312" w:cs="方正楷体_GB2312"/>
          <w:b/>
          <w:bCs/>
          <w:snapToGrid/>
          <w:kern w:val="2"/>
          <w:sz w:val="30"/>
          <w:szCs w:val="30"/>
          <w:highlight w:val="none"/>
          <w:lang w:eastAsia="zh-CN"/>
        </w:rPr>
        <w:t>（</w:t>
      </w:r>
      <w:r>
        <w:rPr>
          <w:rFonts w:hint="eastAsia" w:ascii="方正楷体_GB2312" w:hAnsi="方正楷体_GB2312" w:eastAsia="方正楷体_GB2312" w:cs="方正楷体_GB2312"/>
          <w:b/>
          <w:bCs/>
          <w:snapToGrid/>
          <w:kern w:val="2"/>
          <w:sz w:val="30"/>
          <w:szCs w:val="30"/>
          <w:highlight w:val="none"/>
          <w:lang w:val="en-US" w:eastAsia="zh-CN"/>
        </w:rPr>
        <w:t>六</w:t>
      </w:r>
      <w:r>
        <w:rPr>
          <w:rFonts w:hint="eastAsia" w:ascii="方正楷体_GB2312" w:hAnsi="方正楷体_GB2312" w:eastAsia="方正楷体_GB2312" w:cs="方正楷体_GB2312"/>
          <w:b/>
          <w:bCs/>
          <w:snapToGrid/>
          <w:kern w:val="2"/>
          <w:sz w:val="30"/>
          <w:szCs w:val="30"/>
          <w:highlight w:val="none"/>
          <w:lang w:eastAsia="zh-CN"/>
        </w:rPr>
        <w:t>）社会参与</w:t>
      </w:r>
      <w:bookmarkEnd w:id="136"/>
      <w:bookmarkEnd w:id="137"/>
      <w:bookmarkEnd w:id="138"/>
    </w:p>
    <w:p w14:paraId="372D844B">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firstLine="600" w:firstLineChars="200"/>
        <w:jc w:val="both"/>
        <w:textAlignment w:val="baseline"/>
        <w:rPr>
          <w:rFonts w:hint="eastAsia" w:ascii="Times New Roman" w:hAnsi="Times New Roman" w:eastAsia="仿宋_GB2312" w:cs="Times New Roman"/>
          <w:snapToGrid/>
          <w:color w:val="auto"/>
          <w:kern w:val="2"/>
          <w:sz w:val="30"/>
          <w:szCs w:val="30"/>
          <w:highlight w:val="none"/>
          <w:lang w:val="en-US" w:eastAsia="zh-CN" w:bidi="ar-SA"/>
        </w:rPr>
      </w:pPr>
      <w:r>
        <w:rPr>
          <w:rFonts w:hint="eastAsia" w:ascii="Times New Roman" w:hAnsi="Times New Roman" w:eastAsia="仿宋_GB2312" w:cs="Times New Roman"/>
          <w:snapToGrid/>
          <w:color w:val="auto"/>
          <w:kern w:val="2"/>
          <w:sz w:val="30"/>
          <w:szCs w:val="30"/>
          <w:highlight w:val="none"/>
          <w:lang w:val="en-US" w:eastAsia="zh-CN" w:bidi="ar-SA"/>
        </w:rPr>
        <w:t>创新宣传教育，有效利用网络媒体等线上形式、展览展示等线下平台，多渠道、多层次、多形式地开展生态文明建设示范区创建宣传教育，充分发挥短视频等新媒体的宣传作用，及时向全社会通报生态文明建设成果，提高广大人民群众主动自觉参与生态文明建设的热情，形成全社会共同参与的良好氛围。鼓励全民参与，强化生态文明建设公众监督工作职能，增大生态文明建设相关信息的透明度。鼓励社会团体、媒体、研究机构和公众积极参与生态文明建设决策、管理与监督。对可能产生重大生态环境影响的各类建设活动，广泛征求公众意见，接受公众监督。</w:t>
      </w:r>
    </w:p>
    <w:p w14:paraId="43000EF1">
      <w:pPr>
        <w:rPr>
          <w:rFonts w:hint="eastAsia"/>
          <w:sz w:val="30"/>
          <w:szCs w:val="30"/>
          <w:highlight w:val="none"/>
          <w:lang w:eastAsia="zh-CN"/>
        </w:rPr>
      </w:pPr>
    </w:p>
    <w:p w14:paraId="326C6858">
      <w:pPr>
        <w:rPr>
          <w:rFonts w:hint="eastAsia"/>
          <w:highlight w:val="none"/>
          <w:lang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CCEEC9F-9B7D-499C-B6E7-09E43CCB5C7D}"/>
  </w:font>
  <w:font w:name="黑体">
    <w:panose1 w:val="02010609060101010101"/>
    <w:charset w:val="86"/>
    <w:family w:val="auto"/>
    <w:pitch w:val="default"/>
    <w:sig w:usb0="800002BF" w:usb1="38CF7CFA" w:usb2="00000016" w:usb3="00000000" w:csb0="00040001" w:csb1="00000000"/>
    <w:embedRegular r:id="rId2" w:fontKey="{545E886F-0D86-459B-9B4F-C7B8910A0C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1C07E3F-D9E0-4E5A-A34B-3D68B3CDE090}"/>
  </w:font>
  <w:font w:name="仿宋_GB2312">
    <w:panose1 w:val="02010609030101010101"/>
    <w:charset w:val="86"/>
    <w:family w:val="auto"/>
    <w:pitch w:val="default"/>
    <w:sig w:usb0="00000001" w:usb1="080E0000" w:usb2="00000000" w:usb3="00000000" w:csb0="00040000" w:csb1="00000000"/>
    <w:embedRegular r:id="rId4" w:fontKey="{98547465-ED19-421E-ACCE-F357C7AB6372}"/>
  </w:font>
  <w:font w:name="Calibri Light">
    <w:panose1 w:val="020F0302020204030204"/>
    <w:charset w:val="00"/>
    <w:family w:val="auto"/>
    <w:pitch w:val="default"/>
    <w:sig w:usb0="E4002EFF" w:usb1="C200247B" w:usb2="00000009" w:usb3="00000000" w:csb0="200001FF" w:csb1="00000000"/>
  </w:font>
  <w:font w:name="FangSong_GB2312">
    <w:altName w:val="仿宋_GB2312"/>
    <w:panose1 w:val="00000000000000000000"/>
    <w:charset w:val="00"/>
    <w:family w:val="auto"/>
    <w:pitch w:val="default"/>
    <w:sig w:usb0="00000000" w:usb1="00000000" w:usb2="00000000" w:usb3="00000000" w:csb0="00000000" w:csb1="00000000"/>
    <w:embedRegular r:id="rId5" w:fontKey="{AF45AD7F-FE9E-4E83-9C76-FEAE679CF899}"/>
  </w:font>
  <w:font w:name="方正小标宋_GBK">
    <w:panose1 w:val="03000509000000000000"/>
    <w:charset w:val="86"/>
    <w:family w:val="auto"/>
    <w:pitch w:val="default"/>
    <w:sig w:usb0="00000001" w:usb1="080E0000" w:usb2="00000000" w:usb3="00000000" w:csb0="00040000" w:csb1="00000000"/>
    <w:embedRegular r:id="rId6" w:fontKey="{252CADEF-4C20-4DE5-BE56-337ACC529F9B}"/>
  </w:font>
  <w:font w:name="方正小标宋简体">
    <w:panose1 w:val="03000509000000000000"/>
    <w:charset w:val="86"/>
    <w:family w:val="auto"/>
    <w:pitch w:val="default"/>
    <w:sig w:usb0="00000001" w:usb1="080E0000" w:usb2="00000000" w:usb3="00000000" w:csb0="00040000" w:csb1="00000000"/>
    <w:embedRegular r:id="rId7" w:fontKey="{DACD089D-9FF7-428F-8209-07464AA2C967}"/>
  </w:font>
  <w:font w:name="楷体">
    <w:panose1 w:val="02010609060101010101"/>
    <w:charset w:val="86"/>
    <w:family w:val="auto"/>
    <w:pitch w:val="default"/>
    <w:sig w:usb0="800002BF" w:usb1="38CF7CFA" w:usb2="00000016" w:usb3="00000000" w:csb0="00040001" w:csb1="00000000"/>
    <w:embedRegular r:id="rId8" w:fontKey="{F755C09D-29F3-4A60-8996-FA5490867FCE}"/>
  </w:font>
  <w:font w:name="方正楷体_GB2312">
    <w:panose1 w:val="02000000000000000000"/>
    <w:charset w:val="86"/>
    <w:family w:val="auto"/>
    <w:pitch w:val="default"/>
    <w:sig w:usb0="A00002BF" w:usb1="184F6CFA" w:usb2="00000012" w:usb3="00000000" w:csb0="00040001" w:csb1="00000000"/>
    <w:embedRegular r:id="rId9" w:fontKey="{108089AF-8A15-4D8F-A8FB-2B7E194FB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3AE0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65142">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A7CFD">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993F8">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7C967">
                          <w:pPr>
                            <w:pStyle w:val="1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C07C967">
                    <w:pPr>
                      <w:pStyle w:val="1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8A9D0">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FF843">
                          <w:pPr>
                            <w:pStyle w:val="1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F0FF843">
                    <w:pPr>
                      <w:pStyle w:val="1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374E71"/>
    <w:multiLevelType w:val="singleLevel"/>
    <w:tmpl w:val="95374E71"/>
    <w:lvl w:ilvl="0" w:tentative="0">
      <w:start w:val="1"/>
      <w:numFmt w:val="decimal"/>
      <w:lvlText w:val="%1."/>
      <w:lvlJc w:val="left"/>
      <w:pPr>
        <w:ind w:left="425" w:hanging="425"/>
      </w:pPr>
      <w:rPr>
        <w:rFonts w:hint="default"/>
      </w:rPr>
    </w:lvl>
  </w:abstractNum>
  <w:abstractNum w:abstractNumId="1">
    <w:nsid w:val="983AFE1F"/>
    <w:multiLevelType w:val="singleLevel"/>
    <w:tmpl w:val="983AFE1F"/>
    <w:lvl w:ilvl="0" w:tentative="0">
      <w:start w:val="1"/>
      <w:numFmt w:val="decimal"/>
      <w:lvlText w:val="%1."/>
      <w:lvlJc w:val="left"/>
      <w:pPr>
        <w:ind w:left="425" w:hanging="425"/>
      </w:pPr>
      <w:rPr>
        <w:rFonts w:hint="default"/>
      </w:rPr>
    </w:lvl>
  </w:abstractNum>
  <w:abstractNum w:abstractNumId="2">
    <w:nsid w:val="98E4CD81"/>
    <w:multiLevelType w:val="singleLevel"/>
    <w:tmpl w:val="98E4CD81"/>
    <w:lvl w:ilvl="0" w:tentative="0">
      <w:start w:val="2"/>
      <w:numFmt w:val="chineseCounting"/>
      <w:suff w:val="nothing"/>
      <w:lvlText w:val="（%1）"/>
      <w:lvlJc w:val="left"/>
      <w:rPr>
        <w:rFonts w:hint="eastAsia"/>
      </w:rPr>
    </w:lvl>
  </w:abstractNum>
  <w:abstractNum w:abstractNumId="3">
    <w:nsid w:val="ABBAD579"/>
    <w:multiLevelType w:val="singleLevel"/>
    <w:tmpl w:val="ABBAD579"/>
    <w:lvl w:ilvl="0" w:tentative="0">
      <w:start w:val="1"/>
      <w:numFmt w:val="chineseCounting"/>
      <w:suff w:val="nothing"/>
      <w:lvlText w:val="（%1）"/>
      <w:lvlJc w:val="left"/>
      <w:pPr>
        <w:ind w:left="0" w:firstLine="420"/>
      </w:pPr>
      <w:rPr>
        <w:rFonts w:hint="eastAsia"/>
      </w:rPr>
    </w:lvl>
  </w:abstractNum>
  <w:abstractNum w:abstractNumId="4">
    <w:nsid w:val="CABEF854"/>
    <w:multiLevelType w:val="singleLevel"/>
    <w:tmpl w:val="CABEF854"/>
    <w:lvl w:ilvl="0" w:tentative="0">
      <w:start w:val="1"/>
      <w:numFmt w:val="decimal"/>
      <w:lvlText w:val="%1."/>
      <w:lvlJc w:val="left"/>
      <w:pPr>
        <w:ind w:left="425" w:hanging="425"/>
      </w:pPr>
      <w:rPr>
        <w:rFonts w:hint="default"/>
      </w:rPr>
    </w:lvl>
  </w:abstractNum>
  <w:abstractNum w:abstractNumId="5">
    <w:nsid w:val="E476FB1A"/>
    <w:multiLevelType w:val="singleLevel"/>
    <w:tmpl w:val="E476FB1A"/>
    <w:lvl w:ilvl="0" w:tentative="0">
      <w:start w:val="1"/>
      <w:numFmt w:val="decimal"/>
      <w:lvlText w:val="%1."/>
      <w:lvlJc w:val="left"/>
      <w:pPr>
        <w:ind w:left="425" w:hanging="425"/>
      </w:pPr>
      <w:rPr>
        <w:rFonts w:hint="default"/>
      </w:rPr>
    </w:lvl>
  </w:abstractNum>
  <w:abstractNum w:abstractNumId="6">
    <w:nsid w:val="EB76818D"/>
    <w:multiLevelType w:val="singleLevel"/>
    <w:tmpl w:val="EB76818D"/>
    <w:lvl w:ilvl="0" w:tentative="0">
      <w:start w:val="1"/>
      <w:numFmt w:val="decimal"/>
      <w:suff w:val="nothing"/>
      <w:lvlText w:val="（%1）"/>
      <w:lvlJc w:val="left"/>
    </w:lvl>
  </w:abstractNum>
  <w:abstractNum w:abstractNumId="7">
    <w:nsid w:val="116319E0"/>
    <w:multiLevelType w:val="singleLevel"/>
    <w:tmpl w:val="116319E0"/>
    <w:lvl w:ilvl="0" w:tentative="0">
      <w:start w:val="1"/>
      <w:numFmt w:val="decimal"/>
      <w:lvlText w:val="%1."/>
      <w:lvlJc w:val="left"/>
      <w:pPr>
        <w:ind w:left="425" w:hanging="425"/>
      </w:pPr>
      <w:rPr>
        <w:rFonts w:hint="default"/>
      </w:rPr>
    </w:lvl>
  </w:abstractNum>
  <w:abstractNum w:abstractNumId="8">
    <w:nsid w:val="17176B05"/>
    <w:multiLevelType w:val="singleLevel"/>
    <w:tmpl w:val="17176B05"/>
    <w:lvl w:ilvl="0" w:tentative="0">
      <w:start w:val="2"/>
      <w:numFmt w:val="chineseCounting"/>
      <w:suff w:val="nothing"/>
      <w:lvlText w:val="（%1）"/>
      <w:lvlJc w:val="left"/>
      <w:rPr>
        <w:rFonts w:hint="eastAsia"/>
      </w:rPr>
    </w:lvl>
  </w:abstractNum>
  <w:abstractNum w:abstractNumId="9">
    <w:nsid w:val="216D1ED6"/>
    <w:multiLevelType w:val="singleLevel"/>
    <w:tmpl w:val="216D1ED6"/>
    <w:lvl w:ilvl="0" w:tentative="0">
      <w:start w:val="1"/>
      <w:numFmt w:val="decimal"/>
      <w:suff w:val="nothing"/>
      <w:lvlText w:val="（%1）"/>
      <w:lvlJc w:val="left"/>
    </w:lvl>
  </w:abstractNum>
  <w:abstractNum w:abstractNumId="10">
    <w:nsid w:val="344C4B4C"/>
    <w:multiLevelType w:val="singleLevel"/>
    <w:tmpl w:val="344C4B4C"/>
    <w:lvl w:ilvl="0" w:tentative="0">
      <w:start w:val="1"/>
      <w:numFmt w:val="decimal"/>
      <w:lvlText w:val="%1."/>
      <w:lvlJc w:val="left"/>
      <w:pPr>
        <w:ind w:left="425" w:hanging="425"/>
      </w:pPr>
      <w:rPr>
        <w:rFonts w:hint="default"/>
      </w:rPr>
    </w:lvl>
  </w:abstractNum>
  <w:abstractNum w:abstractNumId="11">
    <w:nsid w:val="34770F8F"/>
    <w:multiLevelType w:val="singleLevel"/>
    <w:tmpl w:val="34770F8F"/>
    <w:lvl w:ilvl="0" w:tentative="0">
      <w:start w:val="1"/>
      <w:numFmt w:val="decimal"/>
      <w:lvlText w:val="%1."/>
      <w:lvlJc w:val="left"/>
      <w:pPr>
        <w:ind w:left="425" w:hanging="425"/>
      </w:pPr>
      <w:rPr>
        <w:rFonts w:hint="default"/>
      </w:rPr>
    </w:lvl>
  </w:abstractNum>
  <w:abstractNum w:abstractNumId="12">
    <w:nsid w:val="504EA9AB"/>
    <w:multiLevelType w:val="singleLevel"/>
    <w:tmpl w:val="504EA9AB"/>
    <w:lvl w:ilvl="0" w:tentative="0">
      <w:start w:val="1"/>
      <w:numFmt w:val="chineseCounting"/>
      <w:suff w:val="nothing"/>
      <w:lvlText w:val="（%1）"/>
      <w:lvlJc w:val="left"/>
      <w:rPr>
        <w:rFonts w:hint="eastAsia"/>
      </w:rPr>
    </w:lvl>
  </w:abstractNum>
  <w:abstractNum w:abstractNumId="13">
    <w:nsid w:val="66F7B5F1"/>
    <w:multiLevelType w:val="singleLevel"/>
    <w:tmpl w:val="66F7B5F1"/>
    <w:lvl w:ilvl="0" w:tentative="0">
      <w:start w:val="5"/>
      <w:numFmt w:val="chineseCounting"/>
      <w:suff w:val="nothing"/>
      <w:lvlText w:val="（%1）"/>
      <w:lvlJc w:val="left"/>
      <w:rPr>
        <w:rFonts w:hint="eastAsia"/>
      </w:rPr>
    </w:lvl>
  </w:abstractNum>
  <w:abstractNum w:abstractNumId="14">
    <w:nsid w:val="6C7DB030"/>
    <w:multiLevelType w:val="singleLevel"/>
    <w:tmpl w:val="6C7DB030"/>
    <w:lvl w:ilvl="0" w:tentative="0">
      <w:start w:val="1"/>
      <w:numFmt w:val="decimal"/>
      <w:lvlText w:val="%1."/>
      <w:lvlJc w:val="left"/>
      <w:pPr>
        <w:ind w:left="425" w:hanging="425"/>
      </w:pPr>
      <w:rPr>
        <w:rFonts w:hint="default"/>
      </w:rPr>
    </w:lvl>
  </w:abstractNum>
  <w:abstractNum w:abstractNumId="15">
    <w:nsid w:val="71DF46D5"/>
    <w:multiLevelType w:val="multilevel"/>
    <w:tmpl w:val="71DF46D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8"/>
  </w:num>
  <w:num w:numId="3">
    <w:abstractNumId w:val="0"/>
  </w:num>
  <w:num w:numId="4">
    <w:abstractNumId w:val="3"/>
  </w:num>
  <w:num w:numId="5">
    <w:abstractNumId w:val="14"/>
  </w:num>
  <w:num w:numId="6">
    <w:abstractNumId w:val="13"/>
  </w:num>
  <w:num w:numId="7">
    <w:abstractNumId w:val="1"/>
  </w:num>
  <w:num w:numId="8">
    <w:abstractNumId w:val="10"/>
  </w:num>
  <w:num w:numId="9">
    <w:abstractNumId w:val="6"/>
  </w:num>
  <w:num w:numId="10">
    <w:abstractNumId w:val="9"/>
  </w:num>
  <w:num w:numId="11">
    <w:abstractNumId w:val="11"/>
  </w:num>
  <w:num w:numId="12">
    <w:abstractNumId w:val="5"/>
  </w:num>
  <w:num w:numId="13">
    <w:abstractNumId w:val="7"/>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iYjc3MGVjN2I5YjUyMDgyOTU3MmQwM2M4YmVmYjkifQ=="/>
  </w:docVars>
  <w:rsids>
    <w:rsidRoot w:val="00000000"/>
    <w:rsid w:val="00ED5D10"/>
    <w:rsid w:val="02F474A0"/>
    <w:rsid w:val="06DF6F47"/>
    <w:rsid w:val="07B93961"/>
    <w:rsid w:val="09D75426"/>
    <w:rsid w:val="0A71587A"/>
    <w:rsid w:val="0E921FEC"/>
    <w:rsid w:val="0F2E2E48"/>
    <w:rsid w:val="0F855338"/>
    <w:rsid w:val="10BA43DB"/>
    <w:rsid w:val="12232E45"/>
    <w:rsid w:val="130D3C66"/>
    <w:rsid w:val="1BE614F8"/>
    <w:rsid w:val="1DBA2C3C"/>
    <w:rsid w:val="1E15506A"/>
    <w:rsid w:val="21C13666"/>
    <w:rsid w:val="26177978"/>
    <w:rsid w:val="276B1E13"/>
    <w:rsid w:val="29E11530"/>
    <w:rsid w:val="2B022523"/>
    <w:rsid w:val="2E304F81"/>
    <w:rsid w:val="2ED55B28"/>
    <w:rsid w:val="2EEC3FC4"/>
    <w:rsid w:val="33C00B55"/>
    <w:rsid w:val="3A0D6D8B"/>
    <w:rsid w:val="3B5B0F34"/>
    <w:rsid w:val="3B5C0E50"/>
    <w:rsid w:val="3C31508B"/>
    <w:rsid w:val="3CF84191"/>
    <w:rsid w:val="40AD2461"/>
    <w:rsid w:val="41B26960"/>
    <w:rsid w:val="41F438F7"/>
    <w:rsid w:val="46E12E64"/>
    <w:rsid w:val="4A01737A"/>
    <w:rsid w:val="4CF84A64"/>
    <w:rsid w:val="51FE2F14"/>
    <w:rsid w:val="54EC3BEA"/>
    <w:rsid w:val="5C6173BF"/>
    <w:rsid w:val="5DFD2BFA"/>
    <w:rsid w:val="605E50CE"/>
    <w:rsid w:val="64BA73FC"/>
    <w:rsid w:val="6C6C32EA"/>
    <w:rsid w:val="6E3B25AB"/>
    <w:rsid w:val="708C3591"/>
    <w:rsid w:val="72F91810"/>
    <w:rsid w:val="748A1048"/>
    <w:rsid w:val="765B071D"/>
    <w:rsid w:val="78106A56"/>
    <w:rsid w:val="7AB34A14"/>
    <w:rsid w:val="7D813143"/>
    <w:rsid w:val="7FE778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iPriority="39"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120" w:beforeLines="0" w:beforeAutospacing="0" w:after="120" w:afterLines="0" w:afterAutospacing="0" w:line="360" w:lineRule="auto"/>
      <w:outlineLvl w:val="0"/>
    </w:pPr>
    <w:rPr>
      <w:rFonts w:eastAsia="黑体" w:asciiTheme="minorAscii" w:hAnsiTheme="minorAscii"/>
      <w:kern w:val="44"/>
      <w:sz w:val="32"/>
    </w:rPr>
  </w:style>
  <w:style w:type="paragraph" w:styleId="3">
    <w:name w:val="heading 2"/>
    <w:basedOn w:val="1"/>
    <w:next w:val="1"/>
    <w:unhideWhenUsed/>
    <w:qFormat/>
    <w:uiPriority w:val="0"/>
    <w:pPr>
      <w:keepNext/>
      <w:keepLines/>
      <w:spacing w:before="120" w:beforeLines="0" w:beforeAutospacing="0" w:after="120" w:afterLines="0" w:afterAutospacing="0" w:line="360" w:lineRule="auto"/>
      <w:outlineLvl w:val="1"/>
    </w:pPr>
    <w:rPr>
      <w:rFonts w:ascii="Arial" w:hAnsi="Arial" w:eastAsia="黑体"/>
      <w:sz w:val="30"/>
    </w:rPr>
  </w:style>
  <w:style w:type="paragraph" w:styleId="4">
    <w:name w:val="heading 3"/>
    <w:basedOn w:val="1"/>
    <w:next w:val="1"/>
    <w:unhideWhenUsed/>
    <w:qFormat/>
    <w:uiPriority w:val="0"/>
    <w:pPr>
      <w:keepNext/>
      <w:keepLines/>
      <w:spacing w:before="120" w:beforeLines="0" w:beforeAutospacing="0" w:after="120" w:afterLines="0" w:afterAutospacing="0" w:line="360" w:lineRule="auto"/>
      <w:outlineLvl w:val="2"/>
    </w:pPr>
    <w:rPr>
      <w:rFonts w:eastAsia="宋体" w:asciiTheme="minorAscii" w:hAnsiTheme="minorAscii"/>
      <w:b/>
      <w:sz w:val="28"/>
    </w:rPr>
  </w:style>
  <w:style w:type="paragraph" w:styleId="5">
    <w:name w:val="heading 4"/>
    <w:basedOn w:val="1"/>
    <w:next w:val="1"/>
    <w:link w:val="29"/>
    <w:unhideWhenUsed/>
    <w:qFormat/>
    <w:uiPriority w:val="0"/>
    <w:pPr>
      <w:keepNext/>
      <w:keepLines/>
      <w:spacing w:before="50" w:beforeLines="50" w:after="50" w:afterLines="50"/>
      <w:ind w:firstLine="0" w:firstLineChars="0"/>
      <w:outlineLvl w:val="3"/>
    </w:pPr>
    <w:rPr>
      <w:rFonts w:ascii="Arial" w:hAnsi="Arial"/>
      <w:b/>
    </w:rPr>
  </w:style>
  <w:style w:type="paragraph" w:styleId="6">
    <w:name w:val="heading 5"/>
    <w:basedOn w:val="1"/>
    <w:next w:val="1"/>
    <w:unhideWhenUsed/>
    <w:qFormat/>
    <w:uiPriority w:val="0"/>
    <w:pPr>
      <w:keepNext/>
      <w:keepLines/>
      <w:spacing w:beforeLines="0" w:beforeAutospacing="0" w:afterLines="0" w:afterAutospacing="0" w:line="360" w:lineRule="auto"/>
      <w:outlineLvl w:val="4"/>
    </w:pPr>
    <w:rPr>
      <w:rFonts w:ascii="Arial" w:hAnsi="Arial" w:eastAsia="仿宋_GB2312"/>
      <w:b/>
      <w:sz w:val="28"/>
    </w:rPr>
  </w:style>
  <w:style w:type="paragraph" w:styleId="7">
    <w:name w:val="heading 6"/>
    <w:basedOn w:val="1"/>
    <w:next w:val="1"/>
    <w:unhideWhenUsed/>
    <w:qFormat/>
    <w:uiPriority w:val="0"/>
    <w:pPr>
      <w:keepNext/>
      <w:keepLines/>
      <w:spacing w:before="50" w:beforeLines="50" w:after="50" w:afterLines="50"/>
      <w:ind w:firstLine="0" w:firstLineChars="0"/>
      <w:jc w:val="center"/>
      <w:outlineLvl w:val="5"/>
    </w:pPr>
    <w:rPr>
      <w:rFonts w:eastAsia="黑体" w:asciiTheme="majorHAnsi" w:hAnsiTheme="majorHAnsi" w:cstheme="majorBidi"/>
      <w:bCs/>
      <w:sz w:val="21"/>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8">
    <w:name w:val="toc 7"/>
    <w:basedOn w:val="1"/>
    <w:next w:val="1"/>
    <w:unhideWhenUsed/>
    <w:qFormat/>
    <w:uiPriority w:val="39"/>
    <w:pPr>
      <w:ind w:left="2520" w:leftChars="1200"/>
    </w:pPr>
    <w:rPr>
      <w:rFonts w:ascii="仿宋_GB2312" w:hAnsi="仿宋_GB2312" w:eastAsia="仿宋_GB2312"/>
    </w:rPr>
  </w:style>
  <w:style w:type="paragraph" w:styleId="9">
    <w:name w:val="caption"/>
    <w:basedOn w:val="1"/>
    <w:next w:val="1"/>
    <w:semiHidden/>
    <w:unhideWhenUsed/>
    <w:qFormat/>
    <w:uiPriority w:val="0"/>
    <w:rPr>
      <w:rFonts w:ascii="Arial" w:hAnsi="Arial" w:eastAsia="黑体"/>
      <w:sz w:val="20"/>
    </w:rPr>
  </w:style>
  <w:style w:type="paragraph" w:styleId="10">
    <w:name w:val="annotation text"/>
    <w:basedOn w:val="1"/>
    <w:qFormat/>
    <w:uiPriority w:val="0"/>
    <w:pPr>
      <w:jc w:val="left"/>
    </w:pPr>
  </w:style>
  <w:style w:type="paragraph" w:styleId="11">
    <w:name w:val="Body Text"/>
    <w:basedOn w:val="1"/>
    <w:next w:val="1"/>
    <w:qFormat/>
    <w:uiPriority w:val="0"/>
    <w:rPr>
      <w:rFonts w:ascii="FangSong_GB2312" w:hAnsi="FangSong_GB2312" w:eastAsia="FangSong_GB2312" w:cs="FangSong_GB2312"/>
      <w:sz w:val="31"/>
      <w:szCs w:val="31"/>
      <w:lang w:val="en-US" w:eastAsia="en-US" w:bidi="ar-SA"/>
    </w:rPr>
  </w:style>
  <w:style w:type="paragraph" w:styleId="12">
    <w:name w:val="Body Text Indent"/>
    <w:basedOn w:val="1"/>
    <w:next w:val="8"/>
    <w:unhideWhenUsed/>
    <w:qFormat/>
    <w:uiPriority w:val="0"/>
    <w:pPr>
      <w:spacing w:after="120"/>
      <w:ind w:left="420" w:leftChars="200"/>
    </w:pPr>
  </w:style>
  <w:style w:type="paragraph" w:styleId="13">
    <w:name w:val="toc 3"/>
    <w:basedOn w:val="1"/>
    <w:next w:val="1"/>
    <w:qFormat/>
    <w:uiPriority w:val="0"/>
    <w:pPr>
      <w:ind w:left="840" w:leftChars="400"/>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Body Text First Indent"/>
    <w:basedOn w:val="11"/>
    <w:next w:val="1"/>
    <w:qFormat/>
    <w:uiPriority w:val="0"/>
    <w:rPr>
      <w:rFonts w:ascii="Times New Roman" w:hAnsi="Times New Roman" w:cs="Times New Roman"/>
      <w:kern w:val="2"/>
      <w:sz w:val="21"/>
    </w:rPr>
  </w:style>
  <w:style w:type="paragraph" w:styleId="19">
    <w:name w:val="Body Text First Indent 2"/>
    <w:basedOn w:val="12"/>
    <w:next w:val="18"/>
    <w:qFormat/>
    <w:uiPriority w:val="0"/>
    <w:pPr>
      <w:adjustRightInd w:val="0"/>
      <w:snapToGrid w:val="0"/>
      <w:spacing w:line="360" w:lineRule="auto"/>
      <w:ind w:firstLine="200" w:firstLineChars="200"/>
    </w:pPr>
    <w:rPr>
      <w:rFonts w:ascii="Times New Roman" w:hAnsi="Times New Roman" w:eastAsia="宋体" w:cstheme="minorBidi"/>
      <w:kern w:val="2"/>
      <w:sz w:val="24"/>
      <w:szCs w:val="21"/>
      <w:lang w:val="en-US" w:eastAsia="zh-CN" w:bidi="ar-SA"/>
    </w:rPr>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 w:type="paragraph" w:customStyle="1" w:styleId="23">
    <w:name w:val="WPSOffice手动目录 2"/>
    <w:qFormat/>
    <w:uiPriority w:val="0"/>
    <w:pPr>
      <w:ind w:leftChars="200"/>
    </w:pPr>
    <w:rPr>
      <w:rFonts w:asciiTheme="minorHAnsi" w:hAnsiTheme="minorHAnsi" w:eastAsiaTheme="minorEastAsia" w:cstheme="minorBidi"/>
      <w:sz w:val="20"/>
      <w:szCs w:val="20"/>
    </w:rPr>
  </w:style>
  <w:style w:type="character" w:customStyle="1" w:styleId="24">
    <w:name w:val="font01"/>
    <w:basedOn w:val="21"/>
    <w:qFormat/>
    <w:uiPriority w:val="0"/>
    <w:rPr>
      <w:rFonts w:hint="default" w:ascii="Times New Roman" w:hAnsi="Times New Roman" w:cs="Times New Roman"/>
      <w:color w:val="000000"/>
      <w:sz w:val="24"/>
      <w:szCs w:val="24"/>
      <w:u w:val="none"/>
    </w:rPr>
  </w:style>
  <w:style w:type="character" w:customStyle="1" w:styleId="25">
    <w:name w:val="font41"/>
    <w:basedOn w:val="21"/>
    <w:qFormat/>
    <w:uiPriority w:val="0"/>
    <w:rPr>
      <w:rFonts w:hint="default" w:ascii="Times New Roman" w:hAnsi="Times New Roman" w:cs="Times New Roman"/>
      <w:color w:val="000000"/>
      <w:sz w:val="24"/>
      <w:szCs w:val="24"/>
      <w:u w:val="none"/>
    </w:rPr>
  </w:style>
  <w:style w:type="character" w:customStyle="1" w:styleId="26">
    <w:name w:val="font31"/>
    <w:basedOn w:val="21"/>
    <w:qFormat/>
    <w:uiPriority w:val="0"/>
    <w:rPr>
      <w:rFonts w:hint="default" w:ascii="Times New Roman" w:hAnsi="Times New Roman" w:cs="Times New Roman"/>
      <w:color w:val="000000"/>
      <w:sz w:val="24"/>
      <w:szCs w:val="24"/>
      <w:u w:val="none"/>
      <w:vertAlign w:val="superscript"/>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Table Text"/>
    <w:basedOn w:val="1"/>
    <w:semiHidden/>
    <w:qFormat/>
    <w:uiPriority w:val="0"/>
    <w:rPr>
      <w:rFonts w:ascii="Arial" w:hAnsi="Arial" w:eastAsia="Arial" w:cs="Arial"/>
      <w:sz w:val="21"/>
      <w:szCs w:val="21"/>
      <w:lang w:val="en-US" w:eastAsia="en-US" w:bidi="ar-SA"/>
    </w:rPr>
  </w:style>
  <w:style w:type="character" w:customStyle="1" w:styleId="29">
    <w:name w:val="标题 4 Char"/>
    <w:link w:val="5"/>
    <w:qFormat/>
    <w:uiPriority w:val="0"/>
    <w:rPr>
      <w:rFonts w:ascii="Arial" w:hAnsi="Arial"/>
      <w:b/>
    </w:rPr>
  </w:style>
  <w:style w:type="paragraph" w:styleId="30">
    <w:name w:val="List Paragraph"/>
    <w:basedOn w:val="1"/>
    <w:next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NUL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43500</Words>
  <Characters>44933</Characters>
  <Lines>0</Lines>
  <Paragraphs>0</Paragraphs>
  <TotalTime>5</TotalTime>
  <ScaleCrop>false</ScaleCrop>
  <LinksUpToDate>false</LinksUpToDate>
  <CharactersWithSpaces>45191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2022-08-22T03:07:00Z</dcterms:created>
  <dc:creator>86138</dc:creator>
  <cp:lastModifiedBy>尹小溪溪溪</cp:lastModifiedBy>
  <dcterms:modified xsi:type="dcterms:W3CDTF">2024-11-15T04:09:53Z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320D0CD650EB4D93A2FF24679666F2B2_13</vt:lpwstr>
  </property>
</Properties>
</file>