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 xml:space="preserve">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10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03F"/>
    <w:rsid w:val="000465A2"/>
    <w:rsid w:val="000D49EF"/>
    <w:rsid w:val="00405C79"/>
    <w:rsid w:val="0056432F"/>
    <w:rsid w:val="00666207"/>
    <w:rsid w:val="0076003F"/>
    <w:rsid w:val="007D1F9C"/>
    <w:rsid w:val="00CA7F95"/>
    <w:rsid w:val="00CC5946"/>
    <w:rsid w:val="00E84788"/>
    <w:rsid w:val="29E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4</Pages>
  <Words>479</Words>
  <Characters>2733</Characters>
  <Lines>22</Lines>
  <Paragraphs>6</Paragraphs>
  <TotalTime>5</TotalTime>
  <ScaleCrop>false</ScaleCrop>
  <LinksUpToDate>false</LinksUpToDate>
  <CharactersWithSpaces>3206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2020-11-09T04:35:00Z</dcterms:created>
  <dc:creator>China</dc:creator>
  <cp:lastModifiedBy>Administrator</cp:lastModifiedBy>
  <dcterms:modified xsi:type="dcterms:W3CDTF">2021-01-04T06:50:09Z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