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八家子乡人民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2E82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八家子</w:t>
      </w:r>
      <w:r>
        <w:rPr>
          <w:rFonts w:hint="eastAsia" w:ascii="Times New Roman" w:hAnsi="Times New Roman" w:eastAsia="仿宋_GB2312" w:cs="Times New Roman"/>
          <w:i w:val="0"/>
          <w:iCs w:val="0"/>
          <w:caps w:val="0"/>
          <w:color w:val="333333"/>
          <w:spacing w:val="0"/>
          <w:sz w:val="32"/>
          <w:szCs w:val="32"/>
          <w:shd w:val="clear" w:color="auto" w:fill="FFFFFF"/>
        </w:rPr>
        <w:t>乡人民政府，地址：黑龙江省哈尔滨市五常市八家子乡乡政街18号，电话：0451-55875011</w:t>
      </w:r>
      <w:r>
        <w:rPr>
          <w:rFonts w:hint="eastAsia" w:cs="Times New Roman"/>
          <w:i w:val="0"/>
          <w:iCs w:val="0"/>
          <w:caps w:val="0"/>
          <w:color w:val="333333"/>
          <w:spacing w:val="0"/>
          <w:sz w:val="32"/>
          <w:szCs w:val="32"/>
          <w:shd w:val="clear" w:color="auto" w:fill="FFFFFF"/>
          <w:lang w:eastAsia="zh-CN"/>
        </w:rPr>
        <w:t>。</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EBD9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：进一步加强政务透明度和公信力，始终坚持依法依规主动公开政务动态信息，涵盖政策法规解读、政府部门信用承诺、事关公民权益保障、法人及其他社会组织密切相关事项、须广大民众广为周知  的内容，以及行政机关架构、职责权限、服务流程等相关资讯。我乡郑重承诺，将持续秉承公开原则，全方位、高精度、即时推送各类政务资讯，包括但不限于扶贫举措、计划生育奖励特殊扶持政策、最低生活保障公示、党员纳新公示、住房修缮补助、农业补贴政策等在内的重点信息公开工作。</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八家子乡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指派专门人员担任政府信息公开员，确立标准化的信息披露审批流程，并坚决贯彻“三审制”要求，即草拟初审、部门复核、主管终批三个环节层层把关，以确保所公布材料质量。全程严格执行编辑校对规则，力求展现完整详实、合乎规范的对外宣传形象。始终秉持严肃认真态度，实行前置检查与复查相结合方式，严守意识形态底线，维护法治尊严；确保公开内容与国家方针一致，使每一条信息都具备高度时效性与真实性。</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w:t>
      </w:r>
      <w:bookmarkStart w:id="0" w:name="_GoBack"/>
      <w:bookmarkEnd w:id="0"/>
      <w:r>
        <w:rPr>
          <w:rFonts w:hint="eastAsia" w:ascii="Times New Roman" w:hAnsi="Times New Roman" w:eastAsia="仿宋_GB2312" w:cs="Times New Roman"/>
          <w:i w:val="0"/>
          <w:iCs w:val="0"/>
          <w:caps w:val="0"/>
          <w:color w:val="333333"/>
          <w:spacing w:val="0"/>
          <w:sz w:val="32"/>
          <w:szCs w:val="32"/>
          <w:shd w:val="clear" w:color="auto" w:fill="FFFFFF"/>
        </w:rPr>
        <w:t>为全面提升政务公开服务水平，八家子乡政府积极运用多元化媒介途径，倾力营造优质高效的政务信息共享空间。充分发挥五常融媒、微信公众号等优势，借助其专业化特性，将各级各类公告通报高效呈现给公众。</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：为了深化政务公开改革，巩固信息化建设成果，将政府信息公开纳入四个体系，统领全局，特别指定专人担任信息员岗位，专职处理信息公开事宜。</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2024年度存在的信息公开进度偏慢问题、内容产出质量不高。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着重优化内部协作流程，缩短从撰稿到正式发布的周期，确保公开信息的时效性，重申并细化“三审制”规定，筑牢单位信誉基石。提升信息专员业务能力，保证政府信息高质量准确公开。</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八家子乡人民政府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812074"/>
    <w:rsid w:val="0A911A78"/>
    <w:rsid w:val="10B50454"/>
    <w:rsid w:val="118F65E6"/>
    <w:rsid w:val="13E06543"/>
    <w:rsid w:val="14C5381E"/>
    <w:rsid w:val="152A4FA3"/>
    <w:rsid w:val="16EE24A1"/>
    <w:rsid w:val="1C7D1CBB"/>
    <w:rsid w:val="1F5275D0"/>
    <w:rsid w:val="240834D8"/>
    <w:rsid w:val="3C5A59E2"/>
    <w:rsid w:val="3E1135AB"/>
    <w:rsid w:val="3ED73827"/>
    <w:rsid w:val="41D859CA"/>
    <w:rsid w:val="48AC1250"/>
    <w:rsid w:val="4CAF7561"/>
    <w:rsid w:val="53575702"/>
    <w:rsid w:val="5C272C70"/>
    <w:rsid w:val="600F05EB"/>
    <w:rsid w:val="618446C0"/>
    <w:rsid w:val="64F40C74"/>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2013</Words>
  <Characters>2125</Characters>
  <Lines>0</Lines>
  <Paragraphs>0</Paragraphs>
  <TotalTime>3</TotalTime>
  <ScaleCrop>false</ScaleCrop>
  <LinksUpToDate>false</LinksUpToDate>
  <CharactersWithSpaces>2130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