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长山乡人民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6D51A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长山</w:t>
      </w:r>
      <w:r>
        <w:rPr>
          <w:rFonts w:hint="eastAsia" w:ascii="Times New Roman" w:hAnsi="Times New Roman" w:eastAsia="仿宋_GB2312" w:cs="Times New Roman"/>
          <w:i w:val="0"/>
          <w:iCs w:val="0"/>
          <w:caps w:val="0"/>
          <w:color w:val="333333"/>
          <w:spacing w:val="0"/>
          <w:sz w:val="32"/>
          <w:szCs w:val="32"/>
          <w:shd w:val="clear" w:color="auto" w:fill="FFFFFF"/>
        </w:rPr>
        <w:t>乡人民政府，地址：长山乡长安大街41号，电话：0451-53559037。</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EBD9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在主动公开政府信息方面，长山乡政府严格按照信息公开规定，准确、及时地发布各类政府信息，持续加强对政府信息公开工作的组织领导，遵循公平、公正、合法、便民的宗旨，努力做好医疗、救助、社会保障等群众最为关注的民生服务事项公开工作，充分发挥政府信息对人民群众生产、生活方面的服务作用，全面保障公民知情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长山乡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政府信息发布机制、政府信息公开审查机制、政府信息公开协调机制和政府信息公开动态调整机制，结合我乡实际，完善政府信息主动公开目录，并根据部门职责变化及时进行动态更新调整，及时、准确地公开政府信息。严格落实主体责任，实施动态更新。</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准确、有效答复依申请公开的政府信息，向公众提供快捷、方便的服务，我乡通过微信群等渠道以及在15个村民委员会告示栏张贴相关政务信息，在乡政府公告栏显著位置，公开全乡各职能部门业务办事指南、工作职责、办事流程图、办结时限内容，便于群众办事。</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：为确保政府信息公开的规范化，建设服务型人民政府，我乡在</w:t>
      </w:r>
      <w:r>
        <w:rPr>
          <w:rFonts w:hint="eastAsia" w:cs="Times New Roman"/>
          <w:i w:val="0"/>
          <w:iCs w:val="0"/>
          <w:caps w:val="0"/>
          <w:color w:val="333333"/>
          <w:spacing w:val="0"/>
          <w:sz w:val="32"/>
          <w:szCs w:val="32"/>
          <w:shd w:val="clear" w:color="auto" w:fill="FFFFFF"/>
          <w:lang w:val="en-US" w:eastAsia="zh-CN"/>
        </w:rPr>
        <w:t>五常市</w:t>
      </w:r>
      <w:r>
        <w:rPr>
          <w:rFonts w:hint="eastAsia" w:ascii="Times New Roman" w:hAnsi="Times New Roman" w:eastAsia="仿宋_GB2312" w:cs="Times New Roman"/>
          <w:i w:val="0"/>
          <w:iCs w:val="0"/>
          <w:caps w:val="0"/>
          <w:color w:val="333333"/>
          <w:spacing w:val="0"/>
          <w:sz w:val="32"/>
          <w:szCs w:val="32"/>
          <w:shd w:val="clear" w:color="auto" w:fill="FFFFFF"/>
        </w:rPr>
        <w:t>政府信息公开门户网站明确地把我乡政府信息公开事务的机构名称、办公地址、联系电话等信息向社会公开，方便广大群众查阅、咨询。同时我乡严格遵守国家《保密法》、《条例》等法律法规的要求，落实责任制度，做到以责任促落实，以责任促成效，积极对自身进行反思自查工作，切实做好政府信息公开工作。</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政务公开的界定还不够明确，并存在公开不及时的情况。配套制度还有待于进一步健全。</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规范和完善政务公开的内容、形式，对涉及人民群众关心的重大问题、重大决策应及时公开，同时有区别地抓好对内与对外公开，提高公开针对性。组织业务培训，进一步提升政务公开工作人员的业务能力和工作水平。建立依申请公开的审批流程，进一步方便人民群众查阅相关信息。</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长山</w:t>
      </w:r>
      <w:bookmarkStart w:id="0" w:name="_GoBack"/>
      <w:bookmarkEnd w:id="0"/>
      <w:r>
        <w:rPr>
          <w:rFonts w:hint="eastAsia" w:ascii="仿宋_GB2312" w:hAnsi="仿宋_GB2312" w:cs="仿宋_GB2312"/>
          <w:color w:val="auto"/>
          <w:highlight w:val="none"/>
          <w:lang w:val="en-US" w:eastAsia="zh-CN"/>
        </w:rPr>
        <w:t>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812074"/>
    <w:rsid w:val="0A911A78"/>
    <w:rsid w:val="10B50454"/>
    <w:rsid w:val="118F65E6"/>
    <w:rsid w:val="13E06543"/>
    <w:rsid w:val="14C5381E"/>
    <w:rsid w:val="152A4FA3"/>
    <w:rsid w:val="16EE24A1"/>
    <w:rsid w:val="1C7D1CBB"/>
    <w:rsid w:val="1F5275D0"/>
    <w:rsid w:val="3C5A59E2"/>
    <w:rsid w:val="3E1135AB"/>
    <w:rsid w:val="3ED73827"/>
    <w:rsid w:val="41D859CA"/>
    <w:rsid w:val="48AC1250"/>
    <w:rsid w:val="4CAF7561"/>
    <w:rsid w:val="53575702"/>
    <w:rsid w:val="5C272C70"/>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1823</Words>
  <Characters>1923</Characters>
  <Lines>0</Lines>
  <Paragraphs>0</Paragraphs>
  <TotalTime>3</TotalTime>
  <ScaleCrop>false</ScaleCrop>
  <LinksUpToDate>false</LinksUpToDate>
  <CharactersWithSpaces>1926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