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五常市自然资源局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http://www.hljwch.gov.cn/hebwcs/c5546/zfxxgklby_nb.shtml进行查阅</w:t>
      </w:r>
      <w:r>
        <w:rPr>
          <w:rFonts w:hint="eastAsia" w:ascii="仿宋_GB2312" w:hAnsi="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如有疑问，请联系</w:t>
      </w:r>
      <w:r>
        <w:rPr>
          <w:rFonts w:hint="eastAsia" w:ascii="仿宋_GB2312" w:hAnsi="仿宋_GB2312" w:cs="仿宋_GB2312"/>
          <w:i w:val="0"/>
          <w:iCs w:val="0"/>
          <w:caps w:val="0"/>
          <w:color w:val="auto"/>
          <w:spacing w:val="0"/>
          <w:sz w:val="32"/>
          <w:szCs w:val="32"/>
          <w:shd w:val="clear" w:color="auto" w:fill="FFFFFF"/>
          <w:lang w:val="en-US" w:eastAsia="zh-CN"/>
        </w:rPr>
        <w:t>五常市自然资源局</w:t>
      </w:r>
      <w:r>
        <w:rPr>
          <w:rFonts w:hint="eastAsia" w:ascii="仿宋_GB2312" w:hAnsi="仿宋_GB2312" w:eastAsia="仿宋_GB2312" w:cs="仿宋_GB2312"/>
          <w:i w:val="0"/>
          <w:iCs w:val="0"/>
          <w:caps w:val="0"/>
          <w:color w:val="auto"/>
          <w:spacing w:val="0"/>
          <w:sz w:val="32"/>
          <w:szCs w:val="32"/>
          <w:shd w:val="clear" w:color="auto" w:fill="FFFFFF"/>
        </w:rPr>
        <w:t>，地址：五常市</w:t>
      </w:r>
      <w:r>
        <w:rPr>
          <w:rFonts w:hint="eastAsia" w:ascii="仿宋_GB2312" w:hAnsi="仿宋_GB2312" w:cs="仿宋_GB2312"/>
          <w:i w:val="0"/>
          <w:iCs w:val="0"/>
          <w:caps w:val="0"/>
          <w:color w:val="auto"/>
          <w:spacing w:val="0"/>
          <w:sz w:val="32"/>
          <w:szCs w:val="32"/>
          <w:shd w:val="clear" w:color="auto" w:fill="FFFFFF"/>
          <w:lang w:val="en-US" w:eastAsia="zh-CN"/>
        </w:rPr>
        <w:t>金山大街161号，电话0451-85838629</w:t>
      </w:r>
      <w:r>
        <w:rPr>
          <w:rFonts w:hint="eastAsia" w:ascii="仿宋_GB2312" w:hAnsi="仿宋_GB2312" w:eastAsia="仿宋_GB2312" w:cs="仿宋_GB2312"/>
          <w:i w:val="0"/>
          <w:iCs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rPr>
        <w:t>（一</w:t>
      </w:r>
      <w:r>
        <w:rPr>
          <w:rFonts w:hint="eastAsia" w:ascii="Times New Roman" w:hAnsi="Times New Roman" w:eastAsia="仿宋_GB2312" w:cs="Times New Roman"/>
          <w:kern w:val="2"/>
          <w:sz w:val="32"/>
          <w:szCs w:val="32"/>
          <w:lang w:val="en-US" w:eastAsia="zh-CN" w:bidi="ar-SA"/>
        </w:rPr>
        <w:t>）主动公开：2023年，通过市政府信息公开统一平台等渠道，主动公开政府信息46条。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（二）依申请公开：2023年，我局收到依申请公开8件，予以公开8件。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政府信息管理：2023年，我局在市政府的统一安排下，着力推进各类规划依法公开工作。在土地征收栏目内，公开各类土地征收方案及用地批复内容，为人民群众了解我市自然资源领域相关政策和土地征收情况提供了便利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政务信息公开平台建设：我局按照要求，对中国政府网公开发布的国务院文件、市政府公开发布的文件和自然资源部、自然资源厅公开发布的文件，以及市政务公开办要求转发的各项内容，及时利用哈市局微信公众号进行下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cs="Times New Roman"/>
          <w:kern w:val="2"/>
          <w:sz w:val="32"/>
          <w:szCs w:val="32"/>
          <w:lang w:val="en-US" w:eastAsia="zh-CN" w:bidi="ar-SA"/>
        </w:rPr>
        <w:t>（五）</w:t>
      </w:r>
      <w:r>
        <w:rPr>
          <w:rFonts w:hint="eastAsia" w:ascii="Times New Roman" w:hAnsi="Times New Roman" w:eastAsia="仿宋_GB2312" w:cs="Times New Roman"/>
          <w:kern w:val="2"/>
          <w:sz w:val="32"/>
          <w:szCs w:val="32"/>
          <w:lang w:val="en-US" w:eastAsia="zh-CN" w:bidi="ar-SA"/>
        </w:rPr>
        <w:t>监督保障：为贯彻落实市委、市政府和省自然资源厅、市自然资源和规划局关于政务公开工作要求，我局全面推进自然资源系统法治建设，扩大面向群众政务开放参与度，切实提升了全市自然资源系统政务公开水平和实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default"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（一）主要问题：2023年，我局政务公开工作取得了一定的成效，但与上级的要求和群众的期盼相比还存在一定的差距。一是主动公开的时效性还有待加强。二是政策解读的多元化、趣味化不够。</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二）改进情况：一是多途径配备政务信息公开与舆情处置工作人员，提升政务信息公开的主动性、及时性、准确性。二是进一步学习政策解读先进案例，充分利用图解、新媒体数字化，进行形象化、通俗化解读，确保人民群众“看得懂、能理解”。</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五常市自然资源局</w:t>
      </w:r>
      <w:r>
        <w:rPr>
          <w:rFonts w:hint="eastAsia" w:ascii="仿宋_GB2312" w:hAnsi="仿宋_GB2312" w:eastAsia="仿宋_GB2312" w:cs="仿宋_GB2312"/>
          <w:i w:val="0"/>
          <w:iCs w:val="0"/>
          <w:caps w:val="0"/>
          <w:color w:val="000000"/>
          <w:spacing w:val="0"/>
          <w:sz w:val="32"/>
          <w:szCs w:val="32"/>
        </w:rPr>
        <w:t>无收取信息处理费等情况。</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963471"/>
    <w:rsid w:val="03A47706"/>
    <w:rsid w:val="03A709C3"/>
    <w:rsid w:val="03B36546"/>
    <w:rsid w:val="03F33E71"/>
    <w:rsid w:val="04604217"/>
    <w:rsid w:val="04786FA3"/>
    <w:rsid w:val="04A659F9"/>
    <w:rsid w:val="04BB050F"/>
    <w:rsid w:val="04C60448"/>
    <w:rsid w:val="04E00DC8"/>
    <w:rsid w:val="050D0E4F"/>
    <w:rsid w:val="052511C2"/>
    <w:rsid w:val="053D0877"/>
    <w:rsid w:val="05625F68"/>
    <w:rsid w:val="05BF332A"/>
    <w:rsid w:val="05F92AC0"/>
    <w:rsid w:val="0609560D"/>
    <w:rsid w:val="061B65B8"/>
    <w:rsid w:val="062330FB"/>
    <w:rsid w:val="062F613E"/>
    <w:rsid w:val="063D180A"/>
    <w:rsid w:val="06B85CF0"/>
    <w:rsid w:val="06BC2231"/>
    <w:rsid w:val="06C43307"/>
    <w:rsid w:val="06F81517"/>
    <w:rsid w:val="06F833EE"/>
    <w:rsid w:val="074729ED"/>
    <w:rsid w:val="074E1E05"/>
    <w:rsid w:val="07574A6C"/>
    <w:rsid w:val="077B3692"/>
    <w:rsid w:val="07D04A54"/>
    <w:rsid w:val="080A47FA"/>
    <w:rsid w:val="080A76F5"/>
    <w:rsid w:val="08282C72"/>
    <w:rsid w:val="085E0554"/>
    <w:rsid w:val="086160CF"/>
    <w:rsid w:val="08686416"/>
    <w:rsid w:val="086A7B32"/>
    <w:rsid w:val="0886050B"/>
    <w:rsid w:val="088D5013"/>
    <w:rsid w:val="089D6FDE"/>
    <w:rsid w:val="08BB3F08"/>
    <w:rsid w:val="08C17706"/>
    <w:rsid w:val="08C30175"/>
    <w:rsid w:val="08CE1E39"/>
    <w:rsid w:val="08F569AE"/>
    <w:rsid w:val="09444942"/>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8E1003"/>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A27964"/>
    <w:rsid w:val="0E057E94"/>
    <w:rsid w:val="0E1030C3"/>
    <w:rsid w:val="0E1154D3"/>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16269"/>
    <w:rsid w:val="101B0738"/>
    <w:rsid w:val="107E4AAB"/>
    <w:rsid w:val="10BB6A51"/>
    <w:rsid w:val="10C02B8A"/>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04D6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D3EA0"/>
    <w:rsid w:val="17126A8D"/>
    <w:rsid w:val="171A3578"/>
    <w:rsid w:val="172D74FD"/>
    <w:rsid w:val="172F4643"/>
    <w:rsid w:val="173A3731"/>
    <w:rsid w:val="17463CC5"/>
    <w:rsid w:val="17A41454"/>
    <w:rsid w:val="17A7763F"/>
    <w:rsid w:val="17D24B0F"/>
    <w:rsid w:val="17D563B4"/>
    <w:rsid w:val="17EA012D"/>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116BB7"/>
    <w:rsid w:val="1D3E7BDA"/>
    <w:rsid w:val="1D445C35"/>
    <w:rsid w:val="1D6152D5"/>
    <w:rsid w:val="1D8558A1"/>
    <w:rsid w:val="1D86049B"/>
    <w:rsid w:val="1DC41F89"/>
    <w:rsid w:val="1DCF088F"/>
    <w:rsid w:val="1DFD58F5"/>
    <w:rsid w:val="1E140F2B"/>
    <w:rsid w:val="1E366AD8"/>
    <w:rsid w:val="1E464BBA"/>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053949"/>
    <w:rsid w:val="251A1928"/>
    <w:rsid w:val="252009AE"/>
    <w:rsid w:val="252F1482"/>
    <w:rsid w:val="257046A9"/>
    <w:rsid w:val="25D24D0F"/>
    <w:rsid w:val="25D33A15"/>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886730"/>
    <w:rsid w:val="27B27F91"/>
    <w:rsid w:val="27BA1EE1"/>
    <w:rsid w:val="27F255F1"/>
    <w:rsid w:val="27F40392"/>
    <w:rsid w:val="280671AA"/>
    <w:rsid w:val="283A128D"/>
    <w:rsid w:val="284728DB"/>
    <w:rsid w:val="28753CF1"/>
    <w:rsid w:val="28816C6A"/>
    <w:rsid w:val="28AF6E9F"/>
    <w:rsid w:val="28D7238B"/>
    <w:rsid w:val="290E5C94"/>
    <w:rsid w:val="29114ACA"/>
    <w:rsid w:val="29752A1D"/>
    <w:rsid w:val="29793232"/>
    <w:rsid w:val="29A03D56"/>
    <w:rsid w:val="29B4693D"/>
    <w:rsid w:val="29EE1BD8"/>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593637"/>
    <w:rsid w:val="2C602882"/>
    <w:rsid w:val="2C9D44D5"/>
    <w:rsid w:val="2CA3602B"/>
    <w:rsid w:val="2CBA58A5"/>
    <w:rsid w:val="2CE4006F"/>
    <w:rsid w:val="2D0D4D17"/>
    <w:rsid w:val="2D433BF7"/>
    <w:rsid w:val="2D8341FA"/>
    <w:rsid w:val="2DC17F66"/>
    <w:rsid w:val="2DC97E56"/>
    <w:rsid w:val="2DCA65B7"/>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81B89"/>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9A6FBB"/>
    <w:rsid w:val="3AA264BD"/>
    <w:rsid w:val="3AB04AD7"/>
    <w:rsid w:val="3B353458"/>
    <w:rsid w:val="3B647667"/>
    <w:rsid w:val="3B6E0742"/>
    <w:rsid w:val="3B6F73E2"/>
    <w:rsid w:val="3BA36C0D"/>
    <w:rsid w:val="3BA507C1"/>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E1A8B"/>
    <w:rsid w:val="40592C97"/>
    <w:rsid w:val="40A30309"/>
    <w:rsid w:val="40AE0242"/>
    <w:rsid w:val="40B31DDA"/>
    <w:rsid w:val="40C00467"/>
    <w:rsid w:val="40C93786"/>
    <w:rsid w:val="40D461D5"/>
    <w:rsid w:val="40DD683B"/>
    <w:rsid w:val="40F13607"/>
    <w:rsid w:val="41027A09"/>
    <w:rsid w:val="410349B7"/>
    <w:rsid w:val="413D4F5D"/>
    <w:rsid w:val="41C13FA3"/>
    <w:rsid w:val="42512DCE"/>
    <w:rsid w:val="425D61A1"/>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760BFC"/>
    <w:rsid w:val="478C29D1"/>
    <w:rsid w:val="478D7FE7"/>
    <w:rsid w:val="479F2045"/>
    <w:rsid w:val="47E5512F"/>
    <w:rsid w:val="480436EB"/>
    <w:rsid w:val="48137942"/>
    <w:rsid w:val="48191D43"/>
    <w:rsid w:val="48217687"/>
    <w:rsid w:val="484A23BB"/>
    <w:rsid w:val="48D67A68"/>
    <w:rsid w:val="490E504C"/>
    <w:rsid w:val="49255EF1"/>
    <w:rsid w:val="493D4E55"/>
    <w:rsid w:val="49635DB3"/>
    <w:rsid w:val="49742060"/>
    <w:rsid w:val="49BB3066"/>
    <w:rsid w:val="4A021065"/>
    <w:rsid w:val="4A22142F"/>
    <w:rsid w:val="4A454C08"/>
    <w:rsid w:val="4A471230"/>
    <w:rsid w:val="4A6937EC"/>
    <w:rsid w:val="4A805602"/>
    <w:rsid w:val="4AC37691"/>
    <w:rsid w:val="4AC82796"/>
    <w:rsid w:val="4ACC3DEA"/>
    <w:rsid w:val="4AD1422C"/>
    <w:rsid w:val="4AD44EAA"/>
    <w:rsid w:val="4AF13FEF"/>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970DC"/>
    <w:rsid w:val="4CE01E3E"/>
    <w:rsid w:val="4CE96B9C"/>
    <w:rsid w:val="4D030E29"/>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E69A5"/>
    <w:rsid w:val="55B06D6E"/>
    <w:rsid w:val="55C43D7A"/>
    <w:rsid w:val="56097F6B"/>
    <w:rsid w:val="560E26DB"/>
    <w:rsid w:val="561074A3"/>
    <w:rsid w:val="56293E02"/>
    <w:rsid w:val="56416BBF"/>
    <w:rsid w:val="56494074"/>
    <w:rsid w:val="56A41633"/>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C3A4B"/>
    <w:rsid w:val="597E6E33"/>
    <w:rsid w:val="59901E5E"/>
    <w:rsid w:val="59945B70"/>
    <w:rsid w:val="599A56C9"/>
    <w:rsid w:val="59C37955"/>
    <w:rsid w:val="59E66C62"/>
    <w:rsid w:val="59F30394"/>
    <w:rsid w:val="59F347D5"/>
    <w:rsid w:val="5A067EE6"/>
    <w:rsid w:val="5A6E07E3"/>
    <w:rsid w:val="5A7002AC"/>
    <w:rsid w:val="5A7170DB"/>
    <w:rsid w:val="5A78343A"/>
    <w:rsid w:val="5AB72298"/>
    <w:rsid w:val="5AB92971"/>
    <w:rsid w:val="5ABE471E"/>
    <w:rsid w:val="5ADB3041"/>
    <w:rsid w:val="5BCE68D6"/>
    <w:rsid w:val="5BF163E3"/>
    <w:rsid w:val="5C6E0385"/>
    <w:rsid w:val="5C732E6D"/>
    <w:rsid w:val="5C8B3FE3"/>
    <w:rsid w:val="5CC52132"/>
    <w:rsid w:val="5CD47B53"/>
    <w:rsid w:val="5CDC2DB6"/>
    <w:rsid w:val="5CE201FB"/>
    <w:rsid w:val="5CE64FB7"/>
    <w:rsid w:val="5D0D0D85"/>
    <w:rsid w:val="5D22032C"/>
    <w:rsid w:val="5D25128C"/>
    <w:rsid w:val="5D35141B"/>
    <w:rsid w:val="5D386DDF"/>
    <w:rsid w:val="5DAF565F"/>
    <w:rsid w:val="5DF80077"/>
    <w:rsid w:val="5E0355B9"/>
    <w:rsid w:val="5E243818"/>
    <w:rsid w:val="5E7E5AC9"/>
    <w:rsid w:val="5E924068"/>
    <w:rsid w:val="5EA84847"/>
    <w:rsid w:val="5EC435DF"/>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B250F5"/>
    <w:rsid w:val="61FA3B67"/>
    <w:rsid w:val="62043C8A"/>
    <w:rsid w:val="620D1C26"/>
    <w:rsid w:val="62203DD2"/>
    <w:rsid w:val="622B5F8C"/>
    <w:rsid w:val="62387C8B"/>
    <w:rsid w:val="625E72E3"/>
    <w:rsid w:val="62926DC6"/>
    <w:rsid w:val="62C40E13"/>
    <w:rsid w:val="62DE2442"/>
    <w:rsid w:val="62E37B84"/>
    <w:rsid w:val="62F11AA6"/>
    <w:rsid w:val="62FA5B2D"/>
    <w:rsid w:val="63057FCD"/>
    <w:rsid w:val="63302C01"/>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81084"/>
    <w:rsid w:val="654F19C6"/>
    <w:rsid w:val="65684E74"/>
    <w:rsid w:val="658D0A39"/>
    <w:rsid w:val="65A86E81"/>
    <w:rsid w:val="65C54670"/>
    <w:rsid w:val="65E801B9"/>
    <w:rsid w:val="661B0244"/>
    <w:rsid w:val="662F3CC9"/>
    <w:rsid w:val="66533F6E"/>
    <w:rsid w:val="66746D8E"/>
    <w:rsid w:val="66757A0B"/>
    <w:rsid w:val="667C62AE"/>
    <w:rsid w:val="66824C74"/>
    <w:rsid w:val="668C1E56"/>
    <w:rsid w:val="669604EB"/>
    <w:rsid w:val="669F72C5"/>
    <w:rsid w:val="66A64769"/>
    <w:rsid w:val="66B45AF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AC344AB"/>
    <w:rsid w:val="6B224A26"/>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72F88"/>
    <w:rsid w:val="6D3A20ED"/>
    <w:rsid w:val="6D456FD7"/>
    <w:rsid w:val="6D5E5253"/>
    <w:rsid w:val="6D623CAB"/>
    <w:rsid w:val="6D6A5509"/>
    <w:rsid w:val="6D702617"/>
    <w:rsid w:val="6D903BA9"/>
    <w:rsid w:val="6DB17EB4"/>
    <w:rsid w:val="6E2311A2"/>
    <w:rsid w:val="6E2B6CB3"/>
    <w:rsid w:val="6E7F486F"/>
    <w:rsid w:val="6EB0230F"/>
    <w:rsid w:val="6ED51FA0"/>
    <w:rsid w:val="6ED520C0"/>
    <w:rsid w:val="6ED67588"/>
    <w:rsid w:val="6F03647F"/>
    <w:rsid w:val="6F1B76AF"/>
    <w:rsid w:val="6F2D6397"/>
    <w:rsid w:val="6F2F6F07"/>
    <w:rsid w:val="6F386996"/>
    <w:rsid w:val="6F8C4515"/>
    <w:rsid w:val="6F8F6112"/>
    <w:rsid w:val="6F9D12E2"/>
    <w:rsid w:val="6FA36A49"/>
    <w:rsid w:val="6FD56B80"/>
    <w:rsid w:val="70121274"/>
    <w:rsid w:val="70142056"/>
    <w:rsid w:val="701E2B0C"/>
    <w:rsid w:val="70707659"/>
    <w:rsid w:val="70902DCA"/>
    <w:rsid w:val="709C7404"/>
    <w:rsid w:val="70D004CD"/>
    <w:rsid w:val="70D83BB3"/>
    <w:rsid w:val="70FB7828"/>
    <w:rsid w:val="710915FB"/>
    <w:rsid w:val="71464D60"/>
    <w:rsid w:val="714E333C"/>
    <w:rsid w:val="7154422B"/>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DB4CAB"/>
    <w:rsid w:val="73ED0CD6"/>
    <w:rsid w:val="74153EFB"/>
    <w:rsid w:val="744A04DB"/>
    <w:rsid w:val="74770DEF"/>
    <w:rsid w:val="74785C00"/>
    <w:rsid w:val="74A6775D"/>
    <w:rsid w:val="74BF7694"/>
    <w:rsid w:val="74D16536"/>
    <w:rsid w:val="74D83CDB"/>
    <w:rsid w:val="74DE1E2A"/>
    <w:rsid w:val="74E67ACC"/>
    <w:rsid w:val="74EB24C5"/>
    <w:rsid w:val="74F04FAB"/>
    <w:rsid w:val="75125BA8"/>
    <w:rsid w:val="755B0735"/>
    <w:rsid w:val="757768EF"/>
    <w:rsid w:val="75BB38D3"/>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50D9C"/>
    <w:rsid w:val="7E3A0381"/>
    <w:rsid w:val="7E971803"/>
    <w:rsid w:val="7EA96E33"/>
    <w:rsid w:val="7EBF7FAB"/>
    <w:rsid w:val="7ECC29F1"/>
    <w:rsid w:val="7ED17119"/>
    <w:rsid w:val="7EDE3CF8"/>
    <w:rsid w:val="7F04378B"/>
    <w:rsid w:val="7F265468"/>
    <w:rsid w:val="7F3D5786"/>
    <w:rsid w:val="7F403B3C"/>
    <w:rsid w:val="7F6E780C"/>
    <w:rsid w:val="7F9E659E"/>
    <w:rsid w:val="7FA6577A"/>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qFormat/>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qFormat/>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20</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2024-02-01T01:06:11Z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8F4D3ECBD7A54C549721328442272723_13</vt:lpwstr>
  </property>
</Properties>
</file>