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五常市统计局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请联系五常市</w:t>
      </w:r>
      <w:r>
        <w:rPr>
          <w:rFonts w:hint="eastAsia" w:ascii="仿宋_GB2312" w:hAnsi="仿宋_GB2312" w:cs="仿宋_GB2312"/>
          <w:i w:val="0"/>
          <w:iCs w:val="0"/>
          <w:caps w:val="0"/>
          <w:color w:val="auto"/>
          <w:spacing w:val="0"/>
          <w:sz w:val="32"/>
          <w:szCs w:val="32"/>
          <w:shd w:val="clear" w:color="auto" w:fill="FFFFFF"/>
          <w:lang w:val="en-US" w:eastAsia="zh-CN"/>
        </w:rPr>
        <w:t>统计局</w:t>
      </w:r>
      <w:r>
        <w:rPr>
          <w:rFonts w:hint="eastAsia" w:ascii="仿宋_GB2312" w:hAnsi="仿宋_GB2312" w:eastAsia="仿宋_GB2312" w:cs="仿宋_GB2312"/>
          <w:i w:val="0"/>
          <w:iCs w:val="0"/>
          <w:caps w:val="0"/>
          <w:color w:val="auto"/>
          <w:spacing w:val="0"/>
          <w:sz w:val="32"/>
          <w:szCs w:val="32"/>
          <w:shd w:val="clear" w:color="auto" w:fill="FFFFFF"/>
        </w:rPr>
        <w:t>，地址：五常市</w:t>
      </w:r>
      <w:r>
        <w:rPr>
          <w:rFonts w:hint="eastAsia" w:ascii="仿宋_GB2312" w:hAnsi="仿宋_GB2312" w:cs="仿宋_GB2312"/>
          <w:i w:val="0"/>
          <w:iCs w:val="0"/>
          <w:caps w:val="0"/>
          <w:color w:val="auto"/>
          <w:spacing w:val="0"/>
          <w:sz w:val="32"/>
          <w:szCs w:val="32"/>
          <w:shd w:val="clear" w:color="auto" w:fill="FFFFFF"/>
          <w:lang w:val="en-US" w:eastAsia="zh-CN"/>
        </w:rPr>
        <w:t>金山大街55号</w:t>
      </w:r>
      <w:r>
        <w:rPr>
          <w:rFonts w:hint="eastAsia" w:ascii="仿宋_GB2312" w:hAnsi="仿宋_GB2312" w:eastAsia="仿宋_GB2312" w:cs="仿宋_GB2312"/>
          <w:i w:val="0"/>
          <w:iCs w:val="0"/>
          <w:caps w:val="0"/>
          <w:color w:val="auto"/>
          <w:spacing w:val="0"/>
          <w:sz w:val="32"/>
          <w:szCs w:val="32"/>
          <w:shd w:val="clear" w:color="auto" w:fill="FFFFFF"/>
        </w:rPr>
        <w:t>，电话：0451-53523219。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）主动公开：主动在市政府网站上公布统计公报、统计月报等年度和月度数据，便于公众查询。及时发布国民经济和社会发展统计公报及相关统计信息。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统计局</w:t>
      </w:r>
      <w:r>
        <w:rPr>
          <w:rFonts w:hint="eastAsia" w:ascii="Times New Roman" w:hAnsi="Times New Roman" w:eastAsia="仿宋_GB2312" w:cs="Times New Roman"/>
          <w:kern w:val="2"/>
          <w:sz w:val="32"/>
          <w:szCs w:val="32"/>
          <w:lang w:val="en-US" w:eastAsia="zh-CN" w:bidi="ar-SA"/>
        </w:rPr>
        <w:t>未收到申请。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坚持落实政务公开责任制，从严政务信息发布审核。按照政府信息公开要求，强化信息公开责任制，采取信息发布“三审负责制”即：股室初审、办公室复审、分管局长终审，严格信息发布保密工作要求，做到“涉密信息不上网”。指定专人负责信息采集、编辑和发布工作，并定期查询、梳理信息发布内容，对可能出现的错别字、表述不准确等方面进行及时督导检查，确保信息发布准确</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：积极搭建平台，持续拓宽渠道。五常市人民政府门户网站是我局政府信息公开的第一平台，通过该网站“公开”栏目，可以查阅我局的公开指南以及主动公开的部门信息，并可在线申请政府信息公开</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五常市统计局严格按照要求对政府信息公开内容完整性、规范性、时效性加强监督管理，发现问题，立即整改，严格落实</w:t>
      </w:r>
      <w:r>
        <w:rPr>
          <w:rFonts w:hint="eastAsia" w:ascii="Times New Roman" w:hAnsi="Times New Roman" w:eastAsia="仿宋_GB2312" w:cs="Times New Roman"/>
          <w:kern w:val="0"/>
          <w:sz w:val="32"/>
          <w:szCs w:val="21"/>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（一）主要问题：2023年，我局在推动政务公开工作方面有了较大进展，也取得了明显成效，但信息发布频率还需要加强，网站栏目更新内容还需进一步充实。</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（二）改进情况：加大公开力度，及时回应人民群众关注的热点环境问题，切实保障社会公众的知情权、监督权</w:t>
      </w:r>
      <w:bookmarkStart w:id="0" w:name="_GoBack"/>
      <w:bookmarkEnd w:id="0"/>
      <w:r>
        <w:rPr>
          <w:rFonts w:hint="eastAsia"/>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统计局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4728DB"/>
    <w:rsid w:val="28753CF1"/>
    <w:rsid w:val="28816C6A"/>
    <w:rsid w:val="28AF6E9F"/>
    <w:rsid w:val="28D7238B"/>
    <w:rsid w:val="290E5C94"/>
    <w:rsid w:val="29114ACA"/>
    <w:rsid w:val="29752A1D"/>
    <w:rsid w:val="29793232"/>
    <w:rsid w:val="29A03D56"/>
    <w:rsid w:val="29B4693D"/>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746D8E"/>
    <w:rsid w:val="66757A0B"/>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5</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2024-01-31T09:43:42Z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0C5871F8EC32487984C53B712571497A_13</vt:lpwstr>
  </property>
</Properties>
</file>