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w:t>
      </w:r>
      <w:bookmarkStart w:id="0" w:name="_GoBack"/>
      <w:r>
        <w:rPr>
          <w:rFonts w:hint="eastAsia" w:ascii="方正小标宋简体" w:hAnsi="方正小标宋简体" w:eastAsia="方正小标宋简体" w:cs="方正小标宋简体"/>
          <w:color w:val="auto"/>
          <w:sz w:val="36"/>
          <w:szCs w:val="44"/>
          <w:lang w:val="en-US" w:eastAsia="zh-CN"/>
        </w:rPr>
        <w:t>医疗保障局</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如有疑问，请联系五常市</w:t>
      </w:r>
      <w:r>
        <w:rPr>
          <w:rFonts w:hint="eastAsia" w:ascii="仿宋_GB2312" w:hAnsi="仿宋_GB2312" w:cs="仿宋_GB2312"/>
          <w:i w:val="0"/>
          <w:iCs w:val="0"/>
          <w:caps w:val="0"/>
          <w:color w:val="auto"/>
          <w:spacing w:val="0"/>
          <w:sz w:val="32"/>
          <w:szCs w:val="32"/>
          <w:shd w:val="clear" w:color="auto" w:fill="FFFFFF"/>
          <w:lang w:eastAsia="zh-CN"/>
        </w:rPr>
        <w:t>医疗保障局</w:t>
      </w:r>
      <w:r>
        <w:rPr>
          <w:rFonts w:hint="eastAsia" w:ascii="仿宋_GB2312" w:hAnsi="仿宋_GB2312" w:eastAsia="仿宋_GB2312" w:cs="仿宋_GB2312"/>
          <w:i w:val="0"/>
          <w:iCs w:val="0"/>
          <w:caps w:val="0"/>
          <w:color w:val="auto"/>
          <w:spacing w:val="0"/>
          <w:sz w:val="32"/>
          <w:szCs w:val="32"/>
          <w:shd w:val="clear" w:color="auto" w:fill="FFFFFF"/>
        </w:rPr>
        <w:t>，联系地址：五常市</w:t>
      </w:r>
      <w:r>
        <w:rPr>
          <w:rFonts w:hint="eastAsia" w:ascii="仿宋_GB2312" w:hAnsi="仿宋_GB2312" w:cs="仿宋_GB2312"/>
          <w:i w:val="0"/>
          <w:iCs w:val="0"/>
          <w:caps w:val="0"/>
          <w:color w:val="auto"/>
          <w:spacing w:val="0"/>
          <w:sz w:val="32"/>
          <w:szCs w:val="32"/>
          <w:shd w:val="clear" w:color="auto" w:fill="FFFFFF"/>
          <w:lang w:val="en-US" w:eastAsia="zh-CN"/>
        </w:rPr>
        <w:t>金山大街</w:t>
      </w:r>
      <w:r>
        <w:rPr>
          <w:rFonts w:hint="eastAsia" w:ascii="仿宋_GB2312" w:hAnsi="仿宋_GB2312" w:eastAsia="仿宋_GB2312" w:cs="仿宋_GB2312"/>
          <w:i w:val="0"/>
          <w:iCs w:val="0"/>
          <w:caps w:val="0"/>
          <w:color w:val="auto"/>
          <w:spacing w:val="0"/>
          <w:sz w:val="32"/>
          <w:szCs w:val="32"/>
          <w:shd w:val="clear" w:color="auto" w:fill="FFFFFF"/>
        </w:rPr>
        <w:t>667号，电话：0451-53</w:t>
      </w:r>
      <w:r>
        <w:rPr>
          <w:rFonts w:hint="eastAsia" w:ascii="仿宋_GB2312" w:hAnsi="仿宋_GB2312" w:cs="仿宋_GB2312"/>
          <w:i w:val="0"/>
          <w:iCs w:val="0"/>
          <w:caps w:val="0"/>
          <w:color w:val="auto"/>
          <w:spacing w:val="0"/>
          <w:sz w:val="32"/>
          <w:szCs w:val="32"/>
          <w:shd w:val="clear" w:color="auto" w:fill="FFFFFF"/>
          <w:lang w:val="en-US" w:eastAsia="zh-CN"/>
        </w:rPr>
        <w:t>532707</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五常市医疗保障局坚持公开为常态、不公开为例外的原则，全面贯彻执行《中华人民共和国政府信息公开条例》，遵循公平、公正、合法、便民的宗旨，将政务公开工作与医疗保障工作相结合，以提高医疗保障工作透明度、方便群众获取医保服务信息为目的，狠抓落实2023年政务公开重点工作任务，全力推进决策、执行、管理、服务、结果公开工作。2023年，累计主动公开政策服务类信息9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医疗保障局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：市医保局落实各科室公开责任，规范公开流程，实行“三级审核”，即部门负责人、主管领导、主要领导对政务公开信息进行严格审查，确保信息公开有序进行。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：按照新媒体管理要求，规范使用“五常市医保”微信公众号，并进行日常更新。2023年共发布、转发政务信息160条。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局领导高度重视政务信息公开工作，设置专人负责相关政府信息公开工作的集中推进和日常管理，层层落实监督检查机制，保证公开信息准确安全。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（一）主要问题：医保局不断深入政务信息公开工作，在信息公开工作取得良好效果，但仍有需要改进的方面：信息公开形式不够丰富，公开内容还需进一步完善。</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（二）改进情况：医保局将继续加大对政务信息公开的重视度，提升信息质量，创新信息公开形式，提升政务信息公开工作能力。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五常市医疗保障局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452908"/>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412F6"/>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5F200CF"/>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0A115E"/>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36479A"/>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5D5424"/>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734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0F673A"/>
    <w:rsid w:val="5D22032C"/>
    <w:rsid w:val="5D25128C"/>
    <w:rsid w:val="5D35141B"/>
    <w:rsid w:val="5D386DDF"/>
    <w:rsid w:val="5DAF565F"/>
    <w:rsid w:val="5DF80077"/>
    <w:rsid w:val="5E0355B9"/>
    <w:rsid w:val="5E243818"/>
    <w:rsid w:val="5E7E5AC9"/>
    <w:rsid w:val="5E924068"/>
    <w:rsid w:val="5EA84847"/>
    <w:rsid w:val="5EC435DF"/>
    <w:rsid w:val="5ECF5D19"/>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AB234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49526F"/>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624588"/>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C15D8C"/>
    <w:rsid w:val="70D004CD"/>
    <w:rsid w:val="70D83BB3"/>
    <w:rsid w:val="70FB7828"/>
    <w:rsid w:val="710915FB"/>
    <w:rsid w:val="71464D60"/>
    <w:rsid w:val="714E333C"/>
    <w:rsid w:val="7154422B"/>
    <w:rsid w:val="717C3466"/>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75DE4"/>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15</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2024-02-01T06:05:26Z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F7997EF64A81455DAC3CA618A7C2A6B6_13</vt:lpwstr>
  </property>
</Properties>
</file>