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审计</w:t>
      </w:r>
      <w:bookmarkStart w:id="0" w:name="_GoBack"/>
      <w:bookmarkEnd w:id="0"/>
      <w:r>
        <w:rPr>
          <w:rFonts w:hint="eastAsia" w:ascii="黑体" w:hAnsi="黑体" w:eastAsia="黑体" w:cs="黑体"/>
          <w:sz w:val="36"/>
          <w:szCs w:val="36"/>
        </w:rPr>
        <w:t>局</w:t>
      </w:r>
    </w:p>
    <w:p>
      <w:pPr>
        <w:jc w:val="center"/>
        <w:rPr>
          <w:rFonts w:ascii="黑体" w:hAnsi="黑体" w:eastAsia="黑体" w:cs="黑体"/>
          <w:sz w:val="36"/>
          <w:szCs w:val="36"/>
        </w:rPr>
      </w:pPr>
      <w:r>
        <w:rPr>
          <w:rFonts w:hint="eastAsia" w:ascii="黑体" w:hAnsi="黑体" w:eastAsia="黑体" w:cs="黑体"/>
          <w:sz w:val="36"/>
          <w:szCs w:val="36"/>
        </w:rPr>
        <w:t>2021年政府信息公开工作年度报告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 xml:space="preserve">  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审计局。地址：五常市金山大街，邮编：150200，电话：0451-53545541。　</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一、总体情况</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主动公开方面。五常市审计局坚持公开为常态、不公开为例外的原则，全面贯彻执行新《条例》，将政务公开与审计工作相结合，以提高审计透明度、方便被审计单位获取审计工作信息为目的，落实2021度政务公开重点工作任务，全力推进执行、管理、结果公开工作。五常市审计局严格执行审计工作“五公开”制度，即：审计项目计划公开、审计的对象范围公开、审计查出违规问题的定性公开、审计处理处罚的决定公开、审计工作纪律公开。在2021年度完成的23个审计项目中对上述涉及到的相关内容均向被审计单位公开。</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（二）依申请公开方面。2021年度，五常市审计局未收到和处理政府信息公开申请，零报告。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（三）政府信息管理方面。2021年度，五常市审计局无政府信息管理方面情况，零报告。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（四）政府信息公开平台建设。2021年度，五常市审计局无服务产品的发布工作。</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（五）监督保障方面。五常市审计局全体干部能够认真落实意识形态工作责任制，坚持属地管理和主管、主办原则，牢牢把握正确舆论导向，全力推进政府信息公开有序开展。</w:t>
      </w:r>
    </w:p>
    <w:p>
      <w:pPr>
        <w:pStyle w:val="2"/>
        <w:widowControl/>
        <w:shd w:val="clear" w:color="auto" w:fill="FFFFFF"/>
        <w:spacing w:beforeAutospacing="0" w:afterAutospacing="0"/>
        <w:ind w:left="420" w:leftChars="200" w:firstLine="360" w:firstLineChars="200"/>
        <w:rPr>
          <w:rFonts w:ascii="黑体" w:hAnsi="黑体" w:eastAsia="黑体" w:cs="黑体"/>
          <w:color w:val="333333"/>
          <w:sz w:val="18"/>
          <w:szCs w:val="18"/>
          <w:shd w:val="clear" w:color="auto" w:fill="FFFFFF"/>
        </w:rPr>
      </w:pPr>
      <w:r>
        <w:rPr>
          <w:rFonts w:hint="eastAsia" w:ascii="黑体" w:hAnsi="黑体" w:eastAsia="黑体" w:cs="黑体"/>
          <w:color w:val="333333"/>
          <w:sz w:val="18"/>
          <w:szCs w:val="18"/>
          <w:shd w:val="clear" w:color="auto" w:fill="FFFFFF"/>
        </w:rPr>
        <w:t>二、主动公开政府信息的情况</w:t>
      </w:r>
    </w:p>
    <w:tbl>
      <w:tblPr>
        <w:tblStyle w:val="3"/>
        <w:tblW w:w="9140"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9140" w:type="dxa"/>
            <w:gridSpan w:val="4"/>
            <w:tcBorders>
              <w:bottom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主动公开政府信息情况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w:t>
            </w:r>
            <w:r>
              <w:rPr>
                <w:rFonts w:ascii="Calibri" w:hAnsi="Calibri" w:eastAsia="宋体" w:cs="Calibri"/>
                <w:color w:val="000000"/>
                <w:kern w:val="0"/>
                <w:sz w:val="20"/>
                <w:szCs w:val="20"/>
                <w:lang w:bidi="ar"/>
              </w:rPr>
              <w:t>制</w:t>
            </w:r>
            <w:r>
              <w:rPr>
                <w:rFonts w:hint="eastAsia" w:ascii="宋体" w:hAnsi="宋体" w:eastAsia="宋体" w:cs="宋体"/>
                <w:color w:val="000000"/>
                <w:kern w:val="0"/>
                <w:sz w:val="20"/>
                <w:szCs w:val="20"/>
                <w:lang w:bidi="ar"/>
              </w:rPr>
              <w:t>发件</w:t>
            </w:r>
            <w:r>
              <w:rPr>
                <w:rFonts w:ascii="Calibri" w:hAnsi="Calibri" w:eastAsia="宋体" w:cs="Calibri"/>
                <w:color w:val="000000"/>
                <w:kern w:val="0"/>
                <w:sz w:val="20"/>
                <w:szCs w:val="20"/>
                <w:lang w:bidi="ar"/>
              </w:rPr>
              <w:t>数</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本年废止件数</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现行有效件</w:t>
            </w:r>
            <w:r>
              <w:rPr>
                <w:rFonts w:ascii="Calibri" w:hAnsi="Calibri" w:eastAsia="宋体" w:cs="Calibri"/>
                <w:color w:val="000000"/>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行政许可</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single" w:color="auto" w:sz="8" w:space="0"/>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00"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行政事业性收费</w:t>
            </w:r>
          </w:p>
        </w:tc>
        <w:tc>
          <w:tcPr>
            <w:tcW w:w="0" w:type="auto"/>
            <w:gridSpan w:val="3"/>
            <w:tcBorders>
              <w:top w:val="nil"/>
              <w:left w:val="nil"/>
            </w:tcBorders>
            <w:shd w:val="clear" w:color="auto" w:fill="auto"/>
            <w:noWrap/>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kern w:val="0"/>
                <w:sz w:val="22"/>
                <w:szCs w:val="22"/>
                <w:lang w:val="en-US" w:eastAsia="zh-CN" w:bidi="ar"/>
              </w:rPr>
              <w:t>0</w:t>
            </w:r>
          </w:p>
        </w:tc>
      </w:tr>
    </w:tbl>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sz w:val="18"/>
          <w:szCs w:val="18"/>
        </w:rPr>
      </w:pPr>
      <w:r>
        <w:rPr>
          <w:rFonts w:hint="eastAsia" w:ascii="黑体" w:hAnsi="黑体" w:eastAsia="黑体" w:cs="黑体"/>
          <w:color w:val="333333"/>
          <w:sz w:val="18"/>
          <w:szCs w:val="18"/>
          <w:shd w:val="clear" w:color="auto" w:fill="FFFFFF"/>
        </w:rPr>
        <w:t>三、收到和处理政府信息公开申请情况</w:t>
      </w:r>
    </w:p>
    <w:tbl>
      <w:tblPr>
        <w:tblStyle w:val="3"/>
        <w:tblpPr w:leftFromText="180" w:rightFromText="180" w:vertAnchor="text" w:horzAnchor="page" w:tblpXSpec="center" w:tblpY="162"/>
        <w:tblOverlap w:val="never"/>
        <w:tblW w:w="8740" w:type="dxa"/>
        <w:jc w:val="center"/>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CellMar>
            <w:top w:w="0" w:type="dxa"/>
            <w:left w:w="108" w:type="dxa"/>
            <w:bottom w:w="0" w:type="dxa"/>
            <w:right w:w="108" w:type="dxa"/>
          </w:tblCellMar>
        </w:tblPrEx>
        <w:trPr>
          <w:trHeight w:val="420" w:hRule="atLeast"/>
          <w:jc w:val="center"/>
        </w:trPr>
        <w:tc>
          <w:tcPr>
            <w:tcW w:w="8740"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收到和处理政府信息公开申请情况</w:t>
            </w:r>
          </w:p>
        </w:tc>
      </w:tr>
      <w:tr>
        <w:tblPrEx>
          <w:tblCellMar>
            <w:top w:w="0" w:type="dxa"/>
            <w:left w:w="108" w:type="dxa"/>
            <w:bottom w:w="0" w:type="dxa"/>
            <w:right w:w="108" w:type="dxa"/>
          </w:tblCellMar>
        </w:tblPrEx>
        <w:trPr>
          <w:trHeight w:val="315" w:hRule="atLeast"/>
          <w:jc w:val="center"/>
        </w:trPr>
        <w:tc>
          <w:tcPr>
            <w:tcW w:w="3820"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920"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申请人情况</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3460"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法人或其他组织</w:t>
            </w:r>
          </w:p>
        </w:tc>
        <w:tc>
          <w:tcPr>
            <w:tcW w:w="70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w:t>
            </w:r>
          </w:p>
        </w:tc>
        <w:tc>
          <w:tcPr>
            <w:tcW w:w="6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科研</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公益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组织</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机构</w:t>
            </w:r>
          </w:p>
        </w:tc>
        <w:tc>
          <w:tcPr>
            <w:tcW w:w="6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机构</w:t>
            </w: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19"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三、本年度办理结果</w:t>
            </w: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（一）予以公开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（三）不予公开</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1.属于国家秘密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2.其他法律行政法规禁止公开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3.危及“三安全一稳定”</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4.保护第三方合法权益</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5.属于三类内部事务信息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6.属于四类过程性信息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7.属于行政执法案卷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8.属于行政查询事项</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（四）无法提供</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1.本机关不掌握相关政府信息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2.没有现成信息需要另行制作</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3.补正后申请内容仍不明确</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（五）不予处理</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1.信访举报投诉类申请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3.要求提供公开出版物</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4.无正当理由大量反复申请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5.要求行政机关确认或重新出具已获取信息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rPr>
          <w:trHeight w:val="17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（六）其他处理</w:t>
            </w: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1.申请人无正当理由逾期不补正、行政机关不再处理其政府信息公开申请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97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（七）总计</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315"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bl>
    <w:p>
      <w:pPr>
        <w:rPr>
          <w:rFonts w:ascii="黑体" w:hAnsi="黑体" w:eastAsia="黑体" w:cs="黑体"/>
          <w:sz w:val="18"/>
          <w:szCs w:val="18"/>
        </w:rPr>
      </w:pPr>
      <w:r>
        <w:rPr>
          <w:rFonts w:hint="eastAsia" w:ascii="黑体" w:hAnsi="黑体" w:eastAsia="黑体" w:cs="黑体"/>
          <w:color w:val="333333"/>
          <w:sz w:val="18"/>
          <w:szCs w:val="18"/>
          <w:shd w:val="clear" w:color="auto" w:fill="FFFFFF"/>
        </w:rPr>
        <w:t>四、政府信息公开行政复议、行政诉讼情况</w:t>
      </w:r>
    </w:p>
    <w:tbl>
      <w:tblPr>
        <w:tblStyle w:val="3"/>
        <w:tblW w:w="8504" w:type="dxa"/>
        <w:jc w:val="cente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政府信息公开行政复议、行政诉讼情况</w:t>
            </w:r>
          </w:p>
        </w:tc>
      </w:tr>
      <w:tr>
        <w:tblPrEx>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行政复议</w:t>
            </w:r>
          </w:p>
        </w:tc>
        <w:tc>
          <w:tcPr>
            <w:tcW w:w="6192"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行政诉讼</w:t>
            </w:r>
          </w:p>
        </w:tc>
      </w:tr>
      <w:tr>
        <w:tblPrEx>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13"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9" w:type="dxa"/>
            <w:vMerge w:val="restart"/>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7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91"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3440"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复议后起诉</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果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结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4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58"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0</w:t>
            </w:r>
          </w:p>
        </w:tc>
        <w:tc>
          <w:tcPr>
            <w:tcW w:w="51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78"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9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956"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6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58" w:type="dxa"/>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0</w:t>
            </w:r>
          </w:p>
        </w:tc>
      </w:tr>
    </w:tbl>
    <w:p>
      <w:pPr>
        <w:ind w:firstLine="360" w:firstLineChars="200"/>
        <w:rPr>
          <w:sz w:val="18"/>
          <w:szCs w:val="18"/>
        </w:rPr>
      </w:pPr>
      <w:r>
        <w:rPr>
          <w:rFonts w:hint="eastAsia"/>
          <w:sz w:val="18"/>
          <w:szCs w:val="18"/>
        </w:rPr>
        <w:t>五、存在的主要问题及改进情况</w:t>
      </w:r>
    </w:p>
    <w:p>
      <w:pPr>
        <w:ind w:firstLine="360" w:firstLineChars="200"/>
        <w:rPr>
          <w:rFonts w:hint="eastAsia"/>
          <w:sz w:val="18"/>
          <w:szCs w:val="18"/>
        </w:rPr>
      </w:pPr>
      <w:r>
        <w:rPr>
          <w:rFonts w:hint="eastAsia"/>
          <w:sz w:val="18"/>
          <w:szCs w:val="18"/>
        </w:rPr>
        <w:t>一年来，我局虽然在政府信息公开方面做了一些工作，但与市政府的要求、社会和审计工作发展需要相比，还存有差距。主要表现在：审计信息公开形式单一；信息公开内容的广度和深度还有待进一步扩大。今后，在认真研究解决上述问题的同时，我局将着重从以下两个方面下手：一是加强信息公开工作人员的队伍建设，提高工作人员的技能水平；二是提高认识，加大工作力度，深入推进审计信息公开工作开展。</w:t>
      </w:r>
    </w:p>
    <w:p>
      <w:pPr>
        <w:ind w:firstLine="360" w:firstLineChars="200"/>
        <w:rPr>
          <w:sz w:val="18"/>
          <w:szCs w:val="18"/>
        </w:rPr>
      </w:pPr>
      <w:r>
        <w:rPr>
          <w:rFonts w:hint="eastAsia"/>
          <w:sz w:val="18"/>
          <w:szCs w:val="18"/>
        </w:rPr>
        <w:t>六、其他需要报告的事项</w:t>
      </w:r>
    </w:p>
    <w:p>
      <w:pPr>
        <w:ind w:firstLine="360" w:firstLineChars="200"/>
        <w:rPr>
          <w:sz w:val="18"/>
          <w:szCs w:val="18"/>
        </w:rPr>
      </w:pPr>
      <w:r>
        <w:rPr>
          <w:rFonts w:hint="eastAsia"/>
          <w:sz w:val="18"/>
          <w:szCs w:val="18"/>
        </w:rPr>
        <w:t>按照《政府信息公开信息处理费管理办法》，我局2021年未收取信息处理费。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08B0CEC"/>
    <w:rsid w:val="00A61F99"/>
    <w:rsid w:val="03560ED5"/>
    <w:rsid w:val="07D46331"/>
    <w:rsid w:val="13481250"/>
    <w:rsid w:val="1AC01D51"/>
    <w:rsid w:val="20601879"/>
    <w:rsid w:val="20F55112"/>
    <w:rsid w:val="31E6013C"/>
    <w:rsid w:val="31F61299"/>
    <w:rsid w:val="338C39C7"/>
    <w:rsid w:val="39624D5A"/>
    <w:rsid w:val="3AE01AB3"/>
    <w:rsid w:val="40D07EFD"/>
    <w:rsid w:val="472E3463"/>
    <w:rsid w:val="495024F9"/>
    <w:rsid w:val="4DB46DAD"/>
    <w:rsid w:val="5A0A04CC"/>
    <w:rsid w:val="5F744FA3"/>
    <w:rsid w:val="60D10BE7"/>
    <w:rsid w:val="67E005F1"/>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1850</Words>
  <Characters>1980</Characters>
  <Lines>17</Lines>
  <Paragraphs>4</Paragraphs>
  <TotalTime>66</TotalTime>
  <ScaleCrop>false</ScaleCrop>
  <LinksUpToDate>false</LinksUpToDate>
  <CharactersWithSpaces>1983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2022-02-11T04:54:14Z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1A7E2213AAF249F8871E2206AF663FBF</vt:lpwstr>
  </property>
</Properties>
</file>