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rPr>
        <w:t>五常市</w:t>
      </w:r>
      <w:r>
        <w:rPr>
          <w:rFonts w:hint="eastAsia" w:ascii="黑体" w:hAnsi="黑体" w:eastAsia="黑体" w:cs="黑体"/>
          <w:sz w:val="36"/>
          <w:szCs w:val="36"/>
          <w:lang w:val="en-US" w:eastAsia="zh-CN"/>
        </w:rPr>
        <w:t>发展和改革</w:t>
      </w:r>
      <w:r>
        <w:rPr>
          <w:rFonts w:hint="eastAsia" w:ascii="黑体" w:hAnsi="黑体" w:eastAsia="黑体" w:cs="黑体"/>
          <w:sz w:val="36"/>
          <w:szCs w:val="36"/>
        </w:rPr>
        <w:t>局</w:t>
      </w:r>
    </w:p>
    <w:p>
      <w:pPr>
        <w:jc w:val="center"/>
        <w:rPr>
          <w:rFonts w:hint="eastAsia" w:ascii="黑体" w:hAnsi="黑体" w:eastAsia="黑体" w:cs="黑体"/>
          <w:sz w:val="36"/>
          <w:szCs w:val="36"/>
        </w:rPr>
      </w:pPr>
      <w:r>
        <w:rPr>
          <w:rFonts w:hint="eastAsia" w:ascii="黑体" w:hAnsi="黑体" w:eastAsia="黑体" w:cs="黑体"/>
          <w:sz w:val="36"/>
          <w:szCs w:val="36"/>
        </w:rPr>
        <w:t>2021年政府信息公开工作年度报告</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firstLine="336" w:firstLineChars="200"/>
        <w:jc w:val="left"/>
        <w:textAlignment w:val="auto"/>
        <w:rPr>
          <w:rFonts w:hint="default" w:ascii="微软雅黑" w:hAnsi="微软雅黑" w:eastAsia="微软雅黑" w:cs="微软雅黑"/>
          <w:i w:val="0"/>
          <w:iCs w:val="0"/>
          <w:caps w:val="0"/>
          <w:color w:val="000000"/>
          <w:spacing w:val="0"/>
          <w:sz w:val="16"/>
          <w:szCs w:val="16"/>
        </w:rPr>
      </w:pPr>
      <w:r>
        <w:rPr>
          <w:rFonts w:hint="default" w:ascii="微软雅黑" w:hAnsi="微软雅黑" w:eastAsia="微软雅黑" w:cs="微软雅黑"/>
          <w:i w:val="0"/>
          <w:iCs w:val="0"/>
          <w:caps w:val="0"/>
          <w:color w:val="000000"/>
          <w:spacing w:val="0"/>
          <w:sz w:val="16"/>
          <w:szCs w:val="16"/>
        </w:rPr>
        <w:t xml:space="preserve"> 依据《中华人民共和国政府信息公开条例》（国务院令第711号）、《国务院办公厅政府信息与政务公开办公室关于印发中华人民共和国政府信息公开工作年度报告格式的通知》（国办公开办函〔2021〕30号）和省、市有关政府信息公开工作的部署要求编制此报告。报告所列数据统计期限为2021年1月1日起至2021年12月31日止。本年度报告内容可通过可以通过哈尔滨市人民政府门户网站→政府信息公开专栏查阅，网址为：http://wcsxxgk.harbin.gov.cn/col/col12596/index.html进行查阅。如有疑问，请联系发展和改革局。地址：五常市金山大街55号，邮编：150200，电话：0451--53532799。　</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firstLine="336" w:firstLineChars="200"/>
        <w:jc w:val="left"/>
        <w:textAlignment w:val="auto"/>
        <w:rPr>
          <w:rFonts w:hint="default" w:ascii="微软雅黑" w:hAnsi="微软雅黑" w:eastAsia="微软雅黑" w:cs="微软雅黑"/>
          <w:i w:val="0"/>
          <w:iCs w:val="0"/>
          <w:caps w:val="0"/>
          <w:color w:val="000000"/>
          <w:spacing w:val="0"/>
          <w:sz w:val="16"/>
          <w:szCs w:val="16"/>
        </w:rPr>
      </w:pPr>
      <w:r>
        <w:rPr>
          <w:rFonts w:hint="default" w:ascii="微软雅黑" w:hAnsi="微软雅黑" w:eastAsia="微软雅黑" w:cs="微软雅黑"/>
          <w:i w:val="0"/>
          <w:iCs w:val="0"/>
          <w:caps w:val="0"/>
          <w:color w:val="000000"/>
          <w:spacing w:val="0"/>
          <w:sz w:val="16"/>
          <w:szCs w:val="16"/>
        </w:rPr>
        <w:t>一、总体情况</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firstLine="336" w:firstLineChars="200"/>
        <w:jc w:val="left"/>
        <w:textAlignment w:val="auto"/>
        <w:rPr>
          <w:rFonts w:hint="default" w:ascii="微软雅黑" w:hAnsi="微软雅黑" w:eastAsia="微软雅黑" w:cs="微软雅黑"/>
          <w:i w:val="0"/>
          <w:iCs w:val="0"/>
          <w:caps w:val="0"/>
          <w:color w:val="000000"/>
          <w:spacing w:val="0"/>
          <w:sz w:val="16"/>
          <w:szCs w:val="16"/>
        </w:rPr>
      </w:pPr>
      <w:r>
        <w:rPr>
          <w:rFonts w:hint="default" w:ascii="微软雅黑" w:hAnsi="微软雅黑" w:eastAsia="微软雅黑" w:cs="微软雅黑"/>
          <w:i w:val="0"/>
          <w:iCs w:val="0"/>
          <w:caps w:val="0"/>
          <w:color w:val="000000"/>
          <w:spacing w:val="0"/>
          <w:sz w:val="16"/>
          <w:szCs w:val="16"/>
        </w:rPr>
        <w:t>（一）主动公开方面。坚持以“公开为常态、不公开为例外”为原则，我局2021年编制主动公开基本目录。</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firstLine="336" w:firstLineChars="200"/>
        <w:jc w:val="left"/>
        <w:textAlignment w:val="auto"/>
        <w:rPr>
          <w:rFonts w:hint="default" w:ascii="微软雅黑" w:hAnsi="微软雅黑" w:eastAsia="微软雅黑" w:cs="微软雅黑"/>
          <w:i w:val="0"/>
          <w:iCs w:val="0"/>
          <w:caps w:val="0"/>
          <w:color w:val="000000"/>
          <w:spacing w:val="0"/>
          <w:sz w:val="16"/>
          <w:szCs w:val="16"/>
        </w:rPr>
      </w:pPr>
      <w:r>
        <w:rPr>
          <w:rFonts w:hint="default" w:ascii="微软雅黑" w:hAnsi="微软雅黑" w:eastAsia="微软雅黑" w:cs="微软雅黑"/>
          <w:i w:val="0"/>
          <w:iCs w:val="0"/>
          <w:caps w:val="0"/>
          <w:color w:val="000000"/>
          <w:spacing w:val="0"/>
          <w:sz w:val="16"/>
          <w:szCs w:val="16"/>
        </w:rPr>
        <w:t>（二）依申请公开方面。2021年度，我局未收到和处理政府信息公开申请，零报告。</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firstLine="336" w:firstLineChars="200"/>
        <w:jc w:val="left"/>
        <w:textAlignment w:val="auto"/>
        <w:rPr>
          <w:rFonts w:hint="default" w:ascii="微软雅黑" w:hAnsi="微软雅黑" w:eastAsia="微软雅黑" w:cs="微软雅黑"/>
          <w:i w:val="0"/>
          <w:iCs w:val="0"/>
          <w:caps w:val="0"/>
          <w:color w:val="000000"/>
          <w:spacing w:val="0"/>
          <w:sz w:val="16"/>
          <w:szCs w:val="16"/>
        </w:rPr>
      </w:pPr>
      <w:r>
        <w:rPr>
          <w:rFonts w:hint="default" w:ascii="微软雅黑" w:hAnsi="微软雅黑" w:eastAsia="微软雅黑" w:cs="微软雅黑"/>
          <w:i w:val="0"/>
          <w:iCs w:val="0"/>
          <w:caps w:val="0"/>
          <w:color w:val="000000"/>
          <w:spacing w:val="0"/>
          <w:sz w:val="16"/>
          <w:szCs w:val="16"/>
        </w:rPr>
        <w:t>（三）政府信息管理方面。根据重大建设项目批准和实施领域政府信息公开的要求，由政府审批或核准的，对经济社会发展、民生改善有直接、广泛和重要影响。政府门户网站的重点领域信息公开专栏“重大建设项目”栏目进行公开。</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firstLine="336" w:firstLineChars="200"/>
        <w:jc w:val="left"/>
        <w:textAlignment w:val="auto"/>
        <w:rPr>
          <w:rFonts w:hint="default" w:ascii="微软雅黑" w:hAnsi="微软雅黑" w:eastAsia="微软雅黑" w:cs="微软雅黑"/>
          <w:i w:val="0"/>
          <w:iCs w:val="0"/>
          <w:caps w:val="0"/>
          <w:color w:val="000000"/>
          <w:spacing w:val="0"/>
          <w:sz w:val="16"/>
          <w:szCs w:val="16"/>
        </w:rPr>
      </w:pPr>
      <w:r>
        <w:rPr>
          <w:rFonts w:hint="default" w:ascii="微软雅黑" w:hAnsi="微软雅黑" w:eastAsia="微软雅黑" w:cs="微软雅黑"/>
          <w:i w:val="0"/>
          <w:iCs w:val="0"/>
          <w:caps w:val="0"/>
          <w:color w:val="000000"/>
          <w:spacing w:val="0"/>
          <w:sz w:val="16"/>
          <w:szCs w:val="16"/>
        </w:rPr>
        <w:t>（四）平台建设方面。通过部门网站主动公开发展改革局内容的建设和维护，及时公开涉及我局领域相关信息，接受社会监督，切实推进重点领域信息公开工作。定期发布相关栏目信息，做好网站后台维护。</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firstLine="336" w:firstLineChars="200"/>
        <w:jc w:val="left"/>
        <w:textAlignment w:val="auto"/>
        <w:rPr>
          <w:rFonts w:hint="default" w:ascii="微软雅黑" w:hAnsi="微软雅黑" w:eastAsia="微软雅黑" w:cs="微软雅黑"/>
          <w:i w:val="0"/>
          <w:iCs w:val="0"/>
          <w:caps w:val="0"/>
          <w:color w:val="000000"/>
          <w:spacing w:val="0"/>
          <w:sz w:val="16"/>
          <w:szCs w:val="16"/>
        </w:rPr>
      </w:pPr>
      <w:r>
        <w:rPr>
          <w:rFonts w:hint="default" w:ascii="微软雅黑" w:hAnsi="微软雅黑" w:eastAsia="微软雅黑" w:cs="微软雅黑"/>
          <w:i w:val="0"/>
          <w:iCs w:val="0"/>
          <w:caps w:val="0"/>
          <w:color w:val="000000"/>
          <w:spacing w:val="0"/>
          <w:sz w:val="16"/>
          <w:szCs w:val="16"/>
        </w:rPr>
        <w:t>（五）监督保障方面。将信息公开日常工作开展情况纳入考评范围，与年度目标绩效考核挂钩，将该项工作与业务工作同安排、同部署、同落实。</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firstLine="360" w:firstLineChars="200"/>
        <w:jc w:val="left"/>
        <w:textAlignment w:val="auto"/>
        <w:rPr>
          <w:rFonts w:hint="eastAsia" w:ascii="黑体" w:hAnsi="黑体" w:eastAsia="黑体" w:cs="黑体"/>
          <w:b w:val="0"/>
          <w:bCs w:val="0"/>
          <w:i w:val="0"/>
          <w:iCs w:val="0"/>
          <w:caps w:val="0"/>
          <w:color w:val="333333"/>
          <w:spacing w:val="0"/>
          <w:sz w:val="18"/>
          <w:szCs w:val="18"/>
          <w:shd w:val="clear" w:fill="FFFFFF"/>
        </w:rPr>
      </w:pPr>
      <w:r>
        <w:rPr>
          <w:rFonts w:hint="eastAsia" w:ascii="黑体" w:hAnsi="黑体" w:eastAsia="黑体" w:cs="黑体"/>
          <w:b w:val="0"/>
          <w:bCs w:val="0"/>
          <w:i w:val="0"/>
          <w:iCs w:val="0"/>
          <w:caps w:val="0"/>
          <w:color w:val="333333"/>
          <w:spacing w:val="0"/>
          <w:sz w:val="18"/>
          <w:szCs w:val="18"/>
          <w:shd w:val="clear" w:fill="FFFFFF"/>
        </w:rPr>
        <w:t>二、主动公开政府信息的情况</w:t>
      </w:r>
    </w:p>
    <w:tbl>
      <w:tblPr>
        <w:tblW w:w="914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2200"/>
        <w:gridCol w:w="2260"/>
        <w:gridCol w:w="2440"/>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40" w:hRule="atLeast"/>
        </w:trPr>
        <w:tc>
          <w:tcPr>
            <w:tcW w:w="9140" w:type="dxa"/>
            <w:gridSpan w:val="4"/>
            <w:shd w:val="clear"/>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bdr w:val="none" w:color="auto" w:sz="0" w:space="0"/>
                <w:lang w:val="en-US" w:eastAsia="zh-CN" w:bidi="ar"/>
              </w:rPr>
              <w:t>主动公开政府信息情况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15" w:hRule="atLeast"/>
        </w:trPr>
        <w:tc>
          <w:tcPr>
            <w:tcW w:w="9140" w:type="dxa"/>
            <w:gridSpan w:val="4"/>
            <w:shd w:val="clear" w:color="000000"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6"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信息内容</w:t>
            </w:r>
          </w:p>
        </w:tc>
        <w:tc>
          <w:tcPr>
            <w:tcW w:w="226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w:t>
            </w:r>
            <w:r>
              <w:rPr>
                <w:rFonts w:ascii="Calibri" w:hAnsi="Calibri" w:eastAsia="宋体" w:cs="Calibri"/>
                <w:i w:val="0"/>
                <w:iCs w:val="0"/>
                <w:color w:val="000000"/>
                <w:kern w:val="0"/>
                <w:sz w:val="20"/>
                <w:szCs w:val="20"/>
                <w:u w:val="none"/>
                <w:bdr w:val="none" w:color="auto" w:sz="0" w:space="0"/>
                <w:lang w:val="en-US" w:eastAsia="zh-CN" w:bidi="ar"/>
              </w:rPr>
              <w:t>制</w:t>
            </w:r>
            <w:r>
              <w:rPr>
                <w:rFonts w:hint="eastAsia" w:ascii="宋体" w:hAnsi="宋体" w:eastAsia="宋体" w:cs="宋体"/>
                <w:i w:val="0"/>
                <w:iCs w:val="0"/>
                <w:color w:val="000000"/>
                <w:kern w:val="0"/>
                <w:sz w:val="20"/>
                <w:szCs w:val="20"/>
                <w:u w:val="none"/>
                <w:bdr w:val="none" w:color="auto" w:sz="0" w:space="0"/>
                <w:lang w:val="en-US" w:eastAsia="zh-CN" w:bidi="ar"/>
              </w:rPr>
              <w:t>发件</w:t>
            </w:r>
            <w:r>
              <w:rPr>
                <w:rFonts w:ascii="Calibri" w:hAnsi="Calibri" w:eastAsia="宋体" w:cs="Calibri"/>
                <w:i w:val="0"/>
                <w:iCs w:val="0"/>
                <w:color w:val="000000"/>
                <w:kern w:val="0"/>
                <w:sz w:val="20"/>
                <w:szCs w:val="20"/>
                <w:u w:val="none"/>
                <w:bdr w:val="none" w:color="auto" w:sz="0" w:space="0"/>
                <w:lang w:val="en-US" w:eastAsia="zh-CN" w:bidi="ar"/>
              </w:rPr>
              <w:t>数</w:t>
            </w:r>
          </w:p>
        </w:tc>
        <w:tc>
          <w:tcPr>
            <w:tcW w:w="244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本年废止件数</w:t>
            </w:r>
          </w:p>
        </w:tc>
        <w:tc>
          <w:tcPr>
            <w:tcW w:w="224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现行有效件</w:t>
            </w:r>
            <w:r>
              <w:rPr>
                <w:rFonts w:ascii="Calibri" w:hAnsi="Calibri" w:eastAsia="宋体" w:cs="Calibri"/>
                <w:i w:val="0"/>
                <w:iCs w:val="0"/>
                <w:color w:val="000000"/>
                <w:kern w:val="0"/>
                <w:sz w:val="20"/>
                <w:szCs w:val="20"/>
                <w:u w:val="none"/>
                <w:bdr w:val="none" w:color="auto" w:sz="0" w:space="0"/>
                <w:lang w:val="en-US" w:eastAsia="zh-CN" w:bidi="ar"/>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6"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规章</w:t>
            </w:r>
          </w:p>
        </w:tc>
        <w:tc>
          <w:tcPr>
            <w:tcW w:w="226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244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224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6"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行政规范性文件</w:t>
            </w:r>
          </w:p>
        </w:tc>
        <w:tc>
          <w:tcPr>
            <w:tcW w:w="226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244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224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15" w:hRule="atLeast"/>
        </w:trPr>
        <w:tc>
          <w:tcPr>
            <w:tcW w:w="9140" w:type="dxa"/>
            <w:gridSpan w:val="4"/>
            <w:shd w:val="clear" w:color="000000"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15"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信息内容</w:t>
            </w:r>
          </w:p>
        </w:tc>
        <w:tc>
          <w:tcPr>
            <w:tcW w:w="6940" w:type="dxa"/>
            <w:gridSpan w:val="3"/>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行政许可</w:t>
            </w:r>
          </w:p>
        </w:tc>
        <w:tc>
          <w:tcPr>
            <w:tcW w:w="6940" w:type="dxa"/>
            <w:gridSpan w:val="3"/>
            <w:shd w:val="clear"/>
            <w:vAlign w:val="center"/>
          </w:tcPr>
          <w:p>
            <w:pPr>
              <w:keepNext w:val="0"/>
              <w:keepLines w:val="0"/>
              <w:widowControl/>
              <w:suppressLineNumbers w:val="0"/>
              <w:jc w:val="center"/>
              <w:textAlignment w:val="center"/>
              <w:rPr>
                <w:rFonts w:hint="default" w:ascii="Calibri" w:hAnsi="Calibri" w:eastAsia="等线" w:cs="Calibri"/>
                <w:i w:val="0"/>
                <w:iCs w:val="0"/>
                <w:color w:val="000000"/>
                <w:sz w:val="21"/>
                <w:szCs w:val="21"/>
                <w:u w:val="none"/>
                <w:lang w:val="en-US" w:eastAsia="zh-CN"/>
              </w:rPr>
            </w:pPr>
            <w:r>
              <w:rPr>
                <w:rFonts w:hint="eastAsia" w:ascii="Calibri" w:hAnsi="Calibri" w:eastAsia="等线" w:cs="Calibri"/>
                <w:i w:val="0"/>
                <w:iCs w:val="0"/>
                <w:color w:val="000000"/>
                <w:sz w:val="21"/>
                <w:szCs w:val="21"/>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140" w:type="dxa"/>
            <w:gridSpan w:val="4"/>
            <w:shd w:val="clear" w:color="000000"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信息内容</w:t>
            </w:r>
          </w:p>
        </w:tc>
        <w:tc>
          <w:tcPr>
            <w:tcW w:w="6940" w:type="dxa"/>
            <w:gridSpan w:val="3"/>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15"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6940" w:type="dxa"/>
            <w:gridSpan w:val="3"/>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w:t>
            </w:r>
          </w:p>
        </w:tc>
        <w:tc>
          <w:tcPr>
            <w:tcW w:w="6940" w:type="dxa"/>
            <w:gridSpan w:val="3"/>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140" w:type="dxa"/>
            <w:gridSpan w:val="4"/>
            <w:shd w:val="clear" w:color="000000"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信息内容</w:t>
            </w:r>
          </w:p>
        </w:tc>
        <w:tc>
          <w:tcPr>
            <w:tcW w:w="6940" w:type="dxa"/>
            <w:gridSpan w:val="3"/>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行政事业性收费</w:t>
            </w:r>
          </w:p>
        </w:tc>
        <w:tc>
          <w:tcPr>
            <w:tcW w:w="0" w:type="auto"/>
            <w:gridSpan w:val="3"/>
            <w:shd w:val="clear"/>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bdr w:val="none" w:color="auto" w:sz="0" w:space="0"/>
                <w:lang w:val="en-US" w:eastAsia="zh-CN" w:bidi="ar"/>
              </w:rPr>
              <w:t>0.48</w:t>
            </w:r>
          </w:p>
        </w:tc>
      </w:tr>
    </w:tbl>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ascii="黑体" w:hAnsi="黑体" w:eastAsia="黑体" w:cs="黑体"/>
          <w:i w:val="0"/>
          <w:iCs w:val="0"/>
          <w:caps w:val="0"/>
          <w:color w:val="333333"/>
          <w:spacing w:val="0"/>
          <w:sz w:val="18"/>
          <w:szCs w:val="18"/>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ascii="黑体" w:hAnsi="黑体" w:eastAsia="黑体" w:cs="黑体"/>
          <w:i w:val="0"/>
          <w:iCs w:val="0"/>
          <w:caps w:val="0"/>
          <w:color w:val="333333"/>
          <w:spacing w:val="0"/>
          <w:sz w:val="18"/>
          <w:szCs w:val="18"/>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ascii="黑体" w:hAnsi="黑体" w:eastAsia="黑体" w:cs="黑体"/>
          <w:sz w:val="18"/>
          <w:szCs w:val="18"/>
        </w:rPr>
      </w:pPr>
      <w:r>
        <w:rPr>
          <w:rFonts w:hint="eastAsia" w:ascii="黑体" w:hAnsi="黑体" w:eastAsia="黑体" w:cs="黑体"/>
          <w:i w:val="0"/>
          <w:iCs w:val="0"/>
          <w:caps w:val="0"/>
          <w:color w:val="333333"/>
          <w:spacing w:val="0"/>
          <w:sz w:val="18"/>
          <w:szCs w:val="18"/>
          <w:bdr w:val="none" w:color="auto" w:sz="0" w:space="0"/>
          <w:shd w:val="clear" w:fill="FFFFFF"/>
        </w:rPr>
        <w:t>三、收到和处理政府信息公开申请情况</w:t>
      </w:r>
    </w:p>
    <w:tbl>
      <w:tblPr>
        <w:tblStyle w:val="3"/>
        <w:tblpPr w:leftFromText="180" w:rightFromText="180" w:vertAnchor="text" w:horzAnchor="page" w:tblpXSpec="center" w:tblpY="162"/>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6"/>
        <w:gridCol w:w="980"/>
        <w:gridCol w:w="2224"/>
        <w:gridCol w:w="760"/>
        <w:gridCol w:w="720"/>
        <w:gridCol w:w="620"/>
        <w:gridCol w:w="740"/>
        <w:gridCol w:w="740"/>
        <w:gridCol w:w="64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8740" w:type="dxa"/>
            <w:gridSpan w:val="10"/>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3820" w:type="dxa"/>
            <w:gridSpan w:val="3"/>
            <w:vMerge w:val="restart"/>
            <w:shd w:val="clear" w:color="auto" w:fill="auto"/>
            <w:vAlign w:val="center"/>
          </w:tcPr>
          <w:p>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4920"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3820" w:type="dxa"/>
            <w:gridSpan w:val="3"/>
            <w:vMerge w:val="continue"/>
            <w:shd w:val="clear" w:color="auto" w:fill="auto"/>
            <w:vAlign w:val="center"/>
          </w:tcPr>
          <w:p>
            <w:pPr>
              <w:jc w:val="left"/>
              <w:rPr>
                <w:rFonts w:hint="eastAsia" w:ascii="楷体" w:hAnsi="楷体" w:eastAsia="楷体" w:cs="楷体"/>
                <w:i w:val="0"/>
                <w:iCs w:val="0"/>
                <w:color w:val="000000"/>
                <w:sz w:val="20"/>
                <w:szCs w:val="20"/>
                <w:u w:val="none"/>
              </w:rPr>
            </w:pPr>
          </w:p>
        </w:tc>
        <w:tc>
          <w:tcPr>
            <w:tcW w:w="76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460"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3820" w:type="dxa"/>
            <w:gridSpan w:val="3"/>
            <w:vMerge w:val="continue"/>
            <w:shd w:val="clear" w:color="auto" w:fill="auto"/>
            <w:vAlign w:val="center"/>
          </w:tcPr>
          <w:p>
            <w:pPr>
              <w:jc w:val="left"/>
              <w:rPr>
                <w:rFonts w:hint="eastAsia" w:ascii="楷体" w:hAnsi="楷体" w:eastAsia="楷体" w:cs="楷体"/>
                <w:i w:val="0"/>
                <w:iCs w:val="0"/>
                <w:color w:val="000000"/>
                <w:sz w:val="20"/>
                <w:szCs w:val="20"/>
                <w:u w:val="none"/>
              </w:rPr>
            </w:pPr>
          </w:p>
        </w:tc>
        <w:tc>
          <w:tcPr>
            <w:tcW w:w="76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6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74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组织</w:t>
            </w:r>
          </w:p>
        </w:tc>
        <w:tc>
          <w:tcPr>
            <w:tcW w:w="74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64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3820" w:type="dxa"/>
            <w:gridSpan w:val="3"/>
            <w:vMerge w:val="continue"/>
            <w:shd w:val="clear" w:color="auto" w:fill="auto"/>
            <w:vAlign w:val="center"/>
          </w:tcPr>
          <w:p>
            <w:pPr>
              <w:jc w:val="left"/>
              <w:rPr>
                <w:rFonts w:hint="eastAsia" w:ascii="楷体" w:hAnsi="楷体" w:eastAsia="楷体" w:cs="楷体"/>
                <w:i w:val="0"/>
                <w:iCs w:val="0"/>
                <w:color w:val="000000"/>
                <w:sz w:val="20"/>
                <w:szCs w:val="20"/>
                <w:u w:val="none"/>
              </w:rPr>
            </w:pPr>
          </w:p>
        </w:tc>
        <w:tc>
          <w:tcPr>
            <w:tcW w:w="76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6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4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74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70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9" w:hRule="atLeast"/>
          <w:jc w:val="center"/>
        </w:trPr>
        <w:tc>
          <w:tcPr>
            <w:tcW w:w="3820"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760" w:type="dxa"/>
            <w:shd w:val="clear" w:color="auto" w:fill="auto"/>
            <w:vAlign w:val="center"/>
          </w:tcPr>
          <w:p>
            <w:pPr>
              <w:keepNext w:val="0"/>
              <w:keepLines w:val="0"/>
              <w:widowControl/>
              <w:suppressLineNumbers w:val="0"/>
              <w:jc w:val="center"/>
              <w:textAlignment w:val="center"/>
              <w:rPr>
                <w:rFonts w:ascii="Calibri" w:hAnsi="Calibri" w:eastAsia="等线" w:cs="Calibri"/>
                <w:i w:val="0"/>
                <w:iCs w:val="0"/>
                <w:color w:val="000000"/>
                <w:sz w:val="20"/>
                <w:szCs w:val="20"/>
                <w:u w:val="none"/>
              </w:rPr>
            </w:pPr>
            <w:r>
              <w:rPr>
                <w:rFonts w:hint="eastAsia"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3820"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616"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3204"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3204"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Fonts w:hint="eastAsia" w:ascii="楷体" w:hAnsi="楷体" w:eastAsia="楷体" w:cs="楷体"/>
                <w:i w:val="0"/>
                <w:iCs w:val="0"/>
                <w:color w:val="000000"/>
                <w:kern w:val="0"/>
                <w:sz w:val="20"/>
                <w:szCs w:val="20"/>
                <w:u w:val="none"/>
                <w:lang w:val="en-US" w:eastAsia="zh-CN" w:bidi="ar"/>
              </w:rPr>
              <w:t>（区分处理的，只计这一情形，不计其他情形）</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76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76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10"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222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2"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3204"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76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3820"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bl>
    <w:p>
      <w:pPr>
        <w:rPr>
          <w:rFonts w:hint="eastAsia" w:ascii="黑体" w:hAnsi="黑体" w:eastAsia="黑体" w:cs="黑体"/>
          <w:sz w:val="18"/>
          <w:szCs w:val="18"/>
        </w:rPr>
      </w:pPr>
      <w:r>
        <w:rPr>
          <w:rFonts w:hint="eastAsia" w:ascii="黑体" w:hAnsi="黑体" w:eastAsia="黑体" w:cs="黑体"/>
          <w:i w:val="0"/>
          <w:iCs w:val="0"/>
          <w:caps w:val="0"/>
          <w:color w:val="333333"/>
          <w:spacing w:val="0"/>
          <w:sz w:val="18"/>
          <w:szCs w:val="18"/>
          <w:shd w:val="clear" w:fill="FFFFFF"/>
        </w:rPr>
        <w:t>四、政府信息公开行政复议、行政诉讼情况</w:t>
      </w:r>
    </w:p>
    <w:tbl>
      <w:tblPr>
        <w:tblW w:w="85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69"/>
        <w:gridCol w:w="490"/>
        <w:gridCol w:w="560"/>
        <w:gridCol w:w="550"/>
        <w:gridCol w:w="470"/>
        <w:gridCol w:w="899"/>
        <w:gridCol w:w="590"/>
        <w:gridCol w:w="590"/>
        <w:gridCol w:w="590"/>
        <w:gridCol w:w="590"/>
        <w:gridCol w:w="590"/>
        <w:gridCol w:w="590"/>
        <w:gridCol w:w="555"/>
        <w:gridCol w:w="450"/>
        <w:gridCol w:w="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7" w:hRule="atLeast"/>
          <w:jc w:val="center"/>
        </w:trPr>
        <w:tc>
          <w:tcPr>
            <w:tcW w:w="8963" w:type="dxa"/>
            <w:gridSpan w:val="15"/>
            <w:tcBorders>
              <w:top w:val="nil"/>
              <w:left w:val="nil"/>
              <w:bottom w:val="nil"/>
              <w:right w:val="nil"/>
            </w:tcBorders>
            <w:shd w:val="clear"/>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bdr w:val="none" w:color="auto" w:sz="0" w:space="0"/>
                <w:lang w:val="en-US" w:eastAsia="zh-CN" w:bidi="ar"/>
              </w:rPr>
              <w:t>政府信息公开行政复议、行政诉讼情况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1" w:hRule="atLeast"/>
          <w:jc w:val="center"/>
        </w:trPr>
        <w:tc>
          <w:tcPr>
            <w:tcW w:w="2771" w:type="dxa"/>
            <w:gridSpan w:val="5"/>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行政复议</w:t>
            </w:r>
          </w:p>
        </w:tc>
        <w:tc>
          <w:tcPr>
            <w:tcW w:w="6192" w:type="dxa"/>
            <w:gridSpan w:val="10"/>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600" w:type="dxa"/>
            <w:vMerge w:val="restart"/>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持</w:t>
            </w:r>
          </w:p>
        </w:tc>
        <w:tc>
          <w:tcPr>
            <w:tcW w:w="513" w:type="dxa"/>
            <w:vMerge w:val="restart"/>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正</w:t>
            </w:r>
          </w:p>
        </w:tc>
        <w:tc>
          <w:tcPr>
            <w:tcW w:w="589" w:type="dxa"/>
            <w:vMerge w:val="restart"/>
            <w:tcBorders>
              <w:top w:val="nil"/>
              <w:left w:val="nil"/>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p>
        </w:tc>
        <w:tc>
          <w:tcPr>
            <w:tcW w:w="578"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结</w:t>
            </w:r>
          </w:p>
        </w:tc>
        <w:tc>
          <w:tcPr>
            <w:tcW w:w="491" w:type="dxa"/>
            <w:vMerge w:val="restart"/>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计</w:t>
            </w:r>
          </w:p>
        </w:tc>
        <w:tc>
          <w:tcPr>
            <w:tcW w:w="3440" w:type="dxa"/>
            <w:gridSpan w:val="5"/>
            <w:vMerge w:val="restart"/>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未经复议直接起诉</w:t>
            </w:r>
          </w:p>
        </w:tc>
        <w:tc>
          <w:tcPr>
            <w:tcW w:w="2752" w:type="dxa"/>
            <w:gridSpan w:val="5"/>
            <w:vMerge w:val="restart"/>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13"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nil"/>
              <w:left w:val="nil"/>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78"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91"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3440" w:type="dxa"/>
            <w:gridSpan w:val="5"/>
            <w:vMerge w:val="continue"/>
            <w:tcBorders>
              <w:top w:val="single" w:color="auto" w:sz="8" w:space="0"/>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2752" w:type="dxa"/>
            <w:gridSpan w:val="5"/>
            <w:vMerge w:val="continue"/>
            <w:tcBorders>
              <w:top w:val="single" w:color="auto" w:sz="8" w:space="0"/>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13"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nil"/>
              <w:left w:val="nil"/>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78"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91"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3440" w:type="dxa"/>
            <w:gridSpan w:val="5"/>
            <w:vMerge w:val="continue"/>
            <w:tcBorders>
              <w:top w:val="single" w:color="auto" w:sz="8" w:space="0"/>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2752" w:type="dxa"/>
            <w:gridSpan w:val="5"/>
            <w:vMerge w:val="continue"/>
            <w:tcBorders>
              <w:top w:val="single" w:color="auto" w:sz="8" w:space="0"/>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13"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nil"/>
              <w:left w:val="nil"/>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78"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91"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956"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持</w:t>
            </w:r>
          </w:p>
        </w:tc>
        <w:tc>
          <w:tcPr>
            <w:tcW w:w="621"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正</w:t>
            </w:r>
          </w:p>
        </w:tc>
        <w:tc>
          <w:tcPr>
            <w:tcW w:w="621"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果 </w:t>
            </w:r>
          </w:p>
        </w:tc>
        <w:tc>
          <w:tcPr>
            <w:tcW w:w="621"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结 </w:t>
            </w:r>
          </w:p>
        </w:tc>
        <w:tc>
          <w:tcPr>
            <w:tcW w:w="621"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计</w:t>
            </w:r>
          </w:p>
        </w:tc>
        <w:tc>
          <w:tcPr>
            <w:tcW w:w="621"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持</w:t>
            </w:r>
          </w:p>
        </w:tc>
        <w:tc>
          <w:tcPr>
            <w:tcW w:w="621"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正</w:t>
            </w:r>
          </w:p>
        </w:tc>
        <w:tc>
          <w:tcPr>
            <w:tcW w:w="583"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p>
        </w:tc>
        <w:tc>
          <w:tcPr>
            <w:tcW w:w="469"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结</w:t>
            </w:r>
          </w:p>
        </w:tc>
        <w:tc>
          <w:tcPr>
            <w:tcW w:w="458" w:type="dxa"/>
            <w:vMerge w:val="restart"/>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13"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nil"/>
              <w:left w:val="nil"/>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78"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91"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956"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3"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69"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58"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13"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nil"/>
              <w:left w:val="nil"/>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78"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91"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956"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3"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69"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58"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13"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nil"/>
              <w:left w:val="nil"/>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78"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91"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956"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3"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69"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58"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jc w:val="center"/>
        </w:trPr>
        <w:tc>
          <w:tcPr>
            <w:tcW w:w="600"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c>
          <w:tcPr>
            <w:tcW w:w="513"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589"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578"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49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956"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62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62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62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583"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469"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458" w:type="dxa"/>
            <w:tcBorders>
              <w:top w:val="nil"/>
              <w:left w:val="nil"/>
              <w:bottom w:val="single" w:color="auto" w:sz="8" w:space="0"/>
              <w:right w:val="single" w:color="auto" w:sz="8" w:space="0"/>
            </w:tcBorders>
            <w:shd w:val="clear"/>
            <w:noWrap/>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0</w:t>
            </w:r>
          </w:p>
        </w:tc>
      </w:tr>
    </w:tbl>
    <w:p>
      <w:pPr>
        <w:keepNext w:val="0"/>
        <w:keepLines w:val="0"/>
        <w:pageBreakBefore w:val="0"/>
        <w:widowControl w:val="0"/>
        <w:numPr>
          <w:numId w:val="0"/>
        </w:numPr>
        <w:kinsoku/>
        <w:wordWrap/>
        <w:overflowPunct/>
        <w:topLinePunct w:val="0"/>
        <w:autoSpaceDE/>
        <w:autoSpaceDN/>
        <w:bidi w:val="0"/>
        <w:adjustRightInd/>
        <w:snapToGrid/>
        <w:spacing w:line="240" w:lineRule="auto"/>
        <w:ind w:firstLine="360" w:firstLineChars="200"/>
        <w:textAlignment w:val="auto"/>
        <w:rPr>
          <w:rFonts w:hint="eastAsia"/>
          <w:sz w:val="18"/>
          <w:szCs w:val="18"/>
        </w:rPr>
      </w:pPr>
      <w:r>
        <w:rPr>
          <w:rFonts w:hint="eastAsia"/>
          <w:sz w:val="18"/>
          <w:szCs w:val="18"/>
          <w:lang w:val="en-US" w:eastAsia="zh-CN"/>
        </w:rPr>
        <w:t>五、</w:t>
      </w:r>
      <w:r>
        <w:rPr>
          <w:rFonts w:hint="eastAsia"/>
          <w:sz w:val="18"/>
          <w:szCs w:val="18"/>
        </w:rPr>
        <w:t>存在的主要问题及改进情况</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sz w:val="18"/>
          <w:szCs w:val="18"/>
        </w:rPr>
      </w:pPr>
      <w:r>
        <w:rPr>
          <w:rFonts w:hint="eastAsia"/>
          <w:sz w:val="18"/>
          <w:szCs w:val="18"/>
        </w:rPr>
        <w:t>本年度政府信息公开工作取得了积极成效，但还存在一些不足，主要表现在：一是政策解读需进一步提质增效，解读深度有待加强，解读形式还需丰富；二是对历史上产生的政策文件类信息公开还不够规范、全面；三是政府信息公开队伍建设有待进一步加强，政务公开工作人员业务水平还有待提升。</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sz w:val="18"/>
          <w:szCs w:val="18"/>
        </w:rPr>
      </w:pPr>
      <w:bookmarkStart w:id="0" w:name="_GoBack"/>
      <w:bookmarkEnd w:id="0"/>
      <w:r>
        <w:rPr>
          <w:rFonts w:hint="eastAsia"/>
          <w:sz w:val="18"/>
          <w:szCs w:val="18"/>
        </w:rPr>
        <w:t>针对上述问题，我局将进一步做好以下工作：一是围绕发改中心工作及社会关切进一步抓好政策解读工作，在政策文件的背景依据、目标任务、主要内容、关键词解释等方面深化解读；二是进一步做好政府信息公开平台的内容保障，加大政策文件等政府信息的公开力度，全面梳理历史文件，确保应公开尽公开；三是对局机关工作人员尤其是具体承办人员开展针对性培训。</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sz w:val="18"/>
          <w:szCs w:val="18"/>
        </w:rPr>
      </w:pPr>
      <w:r>
        <w:rPr>
          <w:rFonts w:hint="eastAsia"/>
          <w:sz w:val="18"/>
          <w:szCs w:val="18"/>
          <w:lang w:val="en-US" w:eastAsia="zh-CN"/>
        </w:rPr>
        <w:t>六、</w:t>
      </w:r>
      <w:r>
        <w:rPr>
          <w:rFonts w:hint="eastAsia"/>
          <w:sz w:val="18"/>
          <w:szCs w:val="18"/>
        </w:rPr>
        <w:t>其他需要报告的事项</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sz w:val="18"/>
          <w:szCs w:val="18"/>
        </w:rPr>
      </w:pPr>
      <w:r>
        <w:rPr>
          <w:rFonts w:hint="eastAsia"/>
          <w:sz w:val="18"/>
          <w:szCs w:val="18"/>
        </w:rPr>
        <w:t>按照《政府信息公开信息处理费管理办法》</w:t>
      </w:r>
      <w:r>
        <w:rPr>
          <w:rFonts w:hint="eastAsia"/>
          <w:sz w:val="18"/>
          <w:szCs w:val="18"/>
          <w:lang w:eastAsia="zh-CN"/>
        </w:rPr>
        <w:t>，</w:t>
      </w:r>
      <w:r>
        <w:rPr>
          <w:rFonts w:hint="eastAsia"/>
          <w:sz w:val="18"/>
          <w:szCs w:val="18"/>
          <w:lang w:val="en-US" w:eastAsia="zh-CN"/>
        </w:rPr>
        <w:t>我</w:t>
      </w:r>
      <w:r>
        <w:rPr>
          <w:rFonts w:hint="eastAsia"/>
          <w:sz w:val="18"/>
          <w:szCs w:val="18"/>
        </w:rPr>
        <w:t>局2021年未收取信息处理费。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Algerian">
    <w:panose1 w:val="04020705040A02060702"/>
    <w:charset w:val="00"/>
    <w:family w:val="auto"/>
    <w:pitch w:val="default"/>
    <w:sig w:usb0="00000003" w:usb1="00000000" w:usb2="00000000" w:usb3="00000000" w:csb0="20000001" w:csb1="00000000"/>
  </w:font>
  <w:font w:name="华文彩云">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44FA3"/>
    <w:rsid w:val="012C3843"/>
    <w:rsid w:val="01525223"/>
    <w:rsid w:val="07145A92"/>
    <w:rsid w:val="07830F22"/>
    <w:rsid w:val="09CF031F"/>
    <w:rsid w:val="0B8D7651"/>
    <w:rsid w:val="0BE97A9A"/>
    <w:rsid w:val="0E415713"/>
    <w:rsid w:val="13481250"/>
    <w:rsid w:val="187D003A"/>
    <w:rsid w:val="1C275D99"/>
    <w:rsid w:val="1C9E6B83"/>
    <w:rsid w:val="1DDC4310"/>
    <w:rsid w:val="1F455034"/>
    <w:rsid w:val="204E2543"/>
    <w:rsid w:val="20601879"/>
    <w:rsid w:val="20F55112"/>
    <w:rsid w:val="221E777A"/>
    <w:rsid w:val="23F20B37"/>
    <w:rsid w:val="2C963934"/>
    <w:rsid w:val="2D8568D6"/>
    <w:rsid w:val="31F61299"/>
    <w:rsid w:val="338C39C7"/>
    <w:rsid w:val="39624D5A"/>
    <w:rsid w:val="40D07EFD"/>
    <w:rsid w:val="495024F9"/>
    <w:rsid w:val="4CD07C03"/>
    <w:rsid w:val="4DB46DAD"/>
    <w:rsid w:val="50F96FFC"/>
    <w:rsid w:val="556F2750"/>
    <w:rsid w:val="5A0A04CC"/>
    <w:rsid w:val="5BBF10DE"/>
    <w:rsid w:val="5DC73980"/>
    <w:rsid w:val="5F744FA3"/>
    <w:rsid w:val="5FBE1B3D"/>
    <w:rsid w:val="60D10BE7"/>
    <w:rsid w:val="67E005F1"/>
    <w:rsid w:val="69797A53"/>
    <w:rsid w:val="6AB778B5"/>
    <w:rsid w:val="6BF45643"/>
    <w:rsid w:val="6CA546B6"/>
    <w:rsid w:val="703F0538"/>
    <w:rsid w:val="71F502E3"/>
    <w:rsid w:val="73D50438"/>
    <w:rsid w:val="769054CA"/>
    <w:rsid w:val="7A7F3524"/>
    <w:rsid w:val="7C956DFE"/>
    <w:rsid w:val="7D18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5">
    <w:name w:val="font51"/>
    <w:basedOn w:val="4"/>
    <w:uiPriority w:val="0"/>
    <w:rPr>
      <w:rFonts w:hint="eastAsia" w:ascii="宋体" w:hAnsi="宋体" w:eastAsia="宋体" w:cs="宋体"/>
      <w:color w:val="000000"/>
      <w:sz w:val="20"/>
      <w:szCs w:val="20"/>
      <w:u w:val="none"/>
    </w:rPr>
  </w:style>
  <w:style w:type="character" w:customStyle="1" w:styleId="6">
    <w:name w:val="font61"/>
    <w:basedOn w:val="4"/>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1873</Words>
  <Characters>1988</Characters>
  <Lines>0</Lines>
  <Paragraphs>0</Paragraphs>
  <TotalTime>561</TotalTime>
  <ScaleCrop>false</ScaleCrop>
  <LinksUpToDate>false</LinksUpToDate>
  <CharactersWithSpaces>1990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2022-02-10T06:08:00Z</dcterms:created>
  <dc:creator>yangrui</dc:creator>
  <cp:lastModifiedBy>yangrui</cp:lastModifiedBy>
  <dcterms:modified xsi:type="dcterms:W3CDTF">2022-02-11T02:57:14Z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F2C79280B8D14DF8A911FFFD6FB4F744</vt:lpwstr>
  </property>
</Properties>
</file>